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B7545" w:rsidRDefault="00000000">
      <w:pPr>
        <w:spacing w:after="0"/>
        <w:ind w:left="-1440" w:right="1046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93400"/>
                <wp:effectExtent l="0" t="0" r="0" b="0"/>
                <wp:wrapTopAndBottom/>
                <wp:docPr id="946" name="Group 9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6500" cy="10693400"/>
                          <a:chOff x="0" y="0"/>
                          <a:chExt cx="7556500" cy="10693400"/>
                        </a:xfrm>
                      </wpg:grpSpPr>
                      <wps:wsp>
                        <wps:cNvPr id="1010" name="Shape 1010"/>
                        <wps:cNvSpPr/>
                        <wps:spPr>
                          <a:xfrm>
                            <a:off x="0" y="0"/>
                            <a:ext cx="406400" cy="9931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6400" h="9931400">
                                <a:moveTo>
                                  <a:pt x="0" y="0"/>
                                </a:moveTo>
                                <a:lnTo>
                                  <a:pt x="406400" y="0"/>
                                </a:lnTo>
                                <a:lnTo>
                                  <a:pt x="406400" y="9931400"/>
                                </a:lnTo>
                                <a:lnTo>
                                  <a:pt x="0" y="99314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1447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1" name="Shape 1011"/>
                        <wps:cNvSpPr/>
                        <wps:spPr>
                          <a:xfrm>
                            <a:off x="0" y="9931400"/>
                            <a:ext cx="7556500" cy="762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56500" h="762000">
                                <a:moveTo>
                                  <a:pt x="0" y="0"/>
                                </a:moveTo>
                                <a:lnTo>
                                  <a:pt x="7556500" y="0"/>
                                </a:lnTo>
                                <a:lnTo>
                                  <a:pt x="7556500" y="762000"/>
                                </a:lnTo>
                                <a:lnTo>
                                  <a:pt x="0" y="7620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1447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" name="Rectangle 8"/>
                        <wps:cNvSpPr/>
                        <wps:spPr>
                          <a:xfrm>
                            <a:off x="6742176" y="10123551"/>
                            <a:ext cx="375656" cy="62496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B7545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FFFFFF"/>
                                  <w:sz w:val="80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" name="Rectangle 10"/>
                        <wps:cNvSpPr/>
                        <wps:spPr>
                          <a:xfrm>
                            <a:off x="533400" y="3041955"/>
                            <a:ext cx="9019795" cy="1874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B7545" w:rsidRDefault="00000000">
                              <w:r>
                                <w:rPr>
                                  <w:rFonts w:ascii="Arial" w:eastAsia="Arial" w:hAnsi="Arial" w:cs="Arial"/>
                                  <w:sz w:val="24"/>
                                </w:rPr>
                                <w:t xml:space="preserve">     O Boletim de Jurisprudência do TCDF é uma publicação periódica elaborada pela Supervisão de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" name="Rectangle 11"/>
                        <wps:cNvSpPr/>
                        <wps:spPr>
                          <a:xfrm>
                            <a:off x="533400" y="3284144"/>
                            <a:ext cx="9019963" cy="1874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B7545" w:rsidRDefault="00000000">
                              <w:r>
                                <w:rPr>
                                  <w:rFonts w:ascii="Arial" w:eastAsia="Arial" w:hAnsi="Arial" w:cs="Arial"/>
                                  <w:sz w:val="24"/>
                                </w:rPr>
                                <w:t>Sistemas de Informação, Legislação e Jurisprudência, da Coordenadoria de Biblioteca, Gestão da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" name="Rectangle 12"/>
                        <wps:cNvSpPr/>
                        <wps:spPr>
                          <a:xfrm>
                            <a:off x="533400" y="3526459"/>
                            <a:ext cx="9019797" cy="1874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B7545" w:rsidRDefault="00000000">
                              <w:r>
                                <w:rPr>
                                  <w:rFonts w:ascii="Arial" w:eastAsia="Arial" w:hAnsi="Arial" w:cs="Arial"/>
                                  <w:sz w:val="24"/>
                                </w:rPr>
                                <w:t>Informação e do Conhecimento, com a finalidade de apresentar resumos das teses constantes em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" name="Rectangle 13"/>
                        <wps:cNvSpPr/>
                        <wps:spPr>
                          <a:xfrm>
                            <a:off x="533400" y="3768648"/>
                            <a:ext cx="9019389" cy="1874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B7545" w:rsidRDefault="00000000">
                              <w:r>
                                <w:rPr>
                                  <w:rFonts w:ascii="Arial" w:eastAsia="Arial" w:hAnsi="Arial" w:cs="Arial"/>
                                  <w:sz w:val="24"/>
                                </w:rPr>
                                <w:t>decisões desta Corte que se enquadrem em critérios de relevância, reiteração, ineditismo ou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" name="Rectangle 14"/>
                        <wps:cNvSpPr/>
                        <wps:spPr>
                          <a:xfrm>
                            <a:off x="533400" y="4010837"/>
                            <a:ext cx="1160209" cy="1874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B7545" w:rsidRDefault="00000000">
                              <w:r>
                                <w:rPr>
                                  <w:rFonts w:ascii="Arial" w:eastAsia="Arial" w:hAnsi="Arial" w:cs="Arial"/>
                                  <w:sz w:val="24"/>
                                </w:rPr>
                                <w:t>controvérsia.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" name="Rectangle 15"/>
                        <wps:cNvSpPr/>
                        <wps:spPr>
                          <a:xfrm>
                            <a:off x="533400" y="4253154"/>
                            <a:ext cx="9019797" cy="1874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B7545" w:rsidRDefault="00000000">
                              <w:r>
                                <w:rPr>
                                  <w:rFonts w:ascii="Arial" w:eastAsia="Arial" w:hAnsi="Arial" w:cs="Arial"/>
                                  <w:sz w:val="24"/>
                                </w:rPr>
                                <w:t xml:space="preserve">     Ressalta-se, todavia, que as informações aqui apresentadas não constituem resumo oficial das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" name="Rectangle 16"/>
                        <wps:cNvSpPr/>
                        <wps:spPr>
                          <a:xfrm>
                            <a:off x="533400" y="4495343"/>
                            <a:ext cx="9019456" cy="1874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B7545" w:rsidRDefault="00000000">
                              <w:r>
                                <w:rPr>
                                  <w:rFonts w:ascii="Arial" w:eastAsia="Arial" w:hAnsi="Arial" w:cs="Arial"/>
                                  <w:sz w:val="24"/>
                                </w:rPr>
                                <w:t>decisões proferidas pelo Tribunal nem representam, necessariamente, o posicionamento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" name="Rectangle 17"/>
                        <wps:cNvSpPr/>
                        <wps:spPr>
                          <a:xfrm>
                            <a:off x="533400" y="4737659"/>
                            <a:ext cx="4160118" cy="1874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B7545" w:rsidRDefault="00000000">
                              <w:r>
                                <w:rPr>
                                  <w:rFonts w:ascii="Arial" w:eastAsia="Arial" w:hAnsi="Arial" w:cs="Arial"/>
                                  <w:sz w:val="24"/>
                                </w:rPr>
                                <w:t>prevalecente na Corte sobre a matéria.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" name="Rectangle 18"/>
                        <wps:cNvSpPr/>
                        <wps:spPr>
                          <a:xfrm>
                            <a:off x="533400" y="4979848"/>
                            <a:ext cx="9018950" cy="1874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B7545" w:rsidRDefault="00000000">
                              <w:r>
                                <w:rPr>
                                  <w:rFonts w:ascii="Arial" w:eastAsia="Arial" w:hAnsi="Arial" w:cs="Arial"/>
                                  <w:sz w:val="24"/>
                                </w:rPr>
                                <w:t xml:space="preserve">     Este boletim informativo não substitui a publicação oficial das decisões. Para um exame mais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" name="Rectangle 19"/>
                        <wps:cNvSpPr/>
                        <wps:spPr>
                          <a:xfrm>
                            <a:off x="533400" y="5222037"/>
                            <a:ext cx="9020538" cy="1874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B7545" w:rsidRDefault="00000000">
                              <w:r>
                                <w:rPr>
                                  <w:rFonts w:ascii="Arial" w:eastAsia="Arial" w:hAnsi="Arial" w:cs="Arial"/>
                                  <w:sz w:val="24"/>
                                </w:rPr>
                                <w:t>aprofundado da decisão, sugere-se o acesso aos documentos do processo por meio dos links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" name="Rectangle 20"/>
                        <wps:cNvSpPr/>
                        <wps:spPr>
                          <a:xfrm>
                            <a:off x="533400" y="5464353"/>
                            <a:ext cx="2666616" cy="1874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B7545" w:rsidRDefault="00000000">
                              <w:r>
                                <w:rPr>
                                  <w:rFonts w:ascii="Arial" w:eastAsia="Arial" w:hAnsi="Arial" w:cs="Arial"/>
                                  <w:sz w:val="24"/>
                                </w:rPr>
                                <w:t>presentes em cada decisão.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" name="Rectangle 21"/>
                        <wps:cNvSpPr/>
                        <wps:spPr>
                          <a:xfrm>
                            <a:off x="533400" y="5706542"/>
                            <a:ext cx="5598961" cy="1874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B7545" w:rsidRDefault="00000000">
                              <w:r>
                                <w:rPr>
                                  <w:rFonts w:ascii="Arial" w:eastAsia="Arial" w:hAnsi="Arial" w:cs="Arial"/>
                                  <w:sz w:val="24"/>
                                </w:rPr>
                                <w:t xml:space="preserve">     Deseja receber os Boletins de Jurisprudência do Tribunal?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44" name="Rectangle 944"/>
                        <wps:cNvSpPr/>
                        <wps:spPr>
                          <a:xfrm>
                            <a:off x="4743146" y="5706542"/>
                            <a:ext cx="1013865" cy="1874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B7545" w:rsidRDefault="00000000">
                              <w:hyperlink r:id="rId4">
                                <w:r>
                                  <w:rPr>
                                    <w:rFonts w:ascii="Arial" w:eastAsia="Arial" w:hAnsi="Arial" w:cs="Arial"/>
                                    <w:color w:val="0000FF"/>
                                    <w:sz w:val="24"/>
                                    <w:u w:val="single" w:color="0000FF"/>
                                  </w:rPr>
                                  <w:t>Clique aqui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43" name="Rectangle 943"/>
                        <wps:cNvSpPr/>
                        <wps:spPr>
                          <a:xfrm>
                            <a:off x="5505450" y="5706542"/>
                            <a:ext cx="56348" cy="1874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B7545" w:rsidRDefault="00000000">
                              <w:hyperlink r:id="rId5">
                                <w:r>
                                  <w:rPr>
                                    <w:rFonts w:ascii="Arial" w:eastAsia="Arial" w:hAnsi="Arial" w:cs="Arial"/>
                                    <w:color w:val="0000FF"/>
                                    <w:sz w:val="24"/>
                                    <w:u w:val="single" w:color="0000FF"/>
                                  </w:rPr>
                                  <w:t>.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" name="Picture 2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6500" cy="9032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12" name="Shape 1012"/>
                        <wps:cNvSpPr/>
                        <wps:spPr>
                          <a:xfrm>
                            <a:off x="508000" y="1778000"/>
                            <a:ext cx="6781800" cy="762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81800" h="762000">
                                <a:moveTo>
                                  <a:pt x="0" y="0"/>
                                </a:moveTo>
                                <a:lnTo>
                                  <a:pt x="6781800" y="0"/>
                                </a:lnTo>
                                <a:lnTo>
                                  <a:pt x="6781800" y="762000"/>
                                </a:lnTo>
                                <a:lnTo>
                                  <a:pt x="0" y="7620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1447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" name="Rectangle 26"/>
                        <wps:cNvSpPr/>
                        <wps:spPr>
                          <a:xfrm>
                            <a:off x="571500" y="1904644"/>
                            <a:ext cx="4454816" cy="3281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B7545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FFFFFF"/>
                                  <w:sz w:val="42"/>
                                </w:rPr>
                                <w:t>Boletim de Jurisprudência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" name="Rectangle 27"/>
                        <wps:cNvSpPr/>
                        <wps:spPr>
                          <a:xfrm>
                            <a:off x="571500" y="2215032"/>
                            <a:ext cx="3402033" cy="3281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B7545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FFFFFF"/>
                                  <w:sz w:val="42"/>
                                </w:rPr>
                                <w:t>Gestão Pública, nº 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99" name="Picture 99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60960" y="60960"/>
                            <a:ext cx="7482840" cy="90525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" name="Rectangle 30"/>
                        <wps:cNvSpPr/>
                        <wps:spPr>
                          <a:xfrm>
                            <a:off x="571500" y="2711755"/>
                            <a:ext cx="3469884" cy="1874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B7545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sz w:val="24"/>
                                </w:rPr>
                                <w:t>Sessões de janeiro a junho de 2024.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" name="Shape 31"/>
                        <wps:cNvSpPr/>
                        <wps:spPr>
                          <a:xfrm>
                            <a:off x="1905000" y="6515100"/>
                            <a:ext cx="3683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83000">
                                <a:moveTo>
                                  <a:pt x="0" y="0"/>
                                </a:moveTo>
                                <a:lnTo>
                                  <a:pt x="368300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3" name="Shape 1013"/>
                        <wps:cNvSpPr/>
                        <wps:spPr>
                          <a:xfrm>
                            <a:off x="63500" y="6896100"/>
                            <a:ext cx="317500" cy="254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7500" h="254000">
                                <a:moveTo>
                                  <a:pt x="0" y="0"/>
                                </a:moveTo>
                                <a:lnTo>
                                  <a:pt x="317500" y="0"/>
                                </a:lnTo>
                                <a:lnTo>
                                  <a:pt x="317500" y="254000"/>
                                </a:lnTo>
                                <a:lnTo>
                                  <a:pt x="0" y="2540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1447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" name="Rectangle 33"/>
                        <wps:cNvSpPr/>
                        <wps:spPr>
                          <a:xfrm>
                            <a:off x="172847" y="6933540"/>
                            <a:ext cx="131480" cy="21873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B7545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FFFFFF"/>
                                  <w:sz w:val="28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" name="Rectangle 34"/>
                        <wps:cNvSpPr/>
                        <wps:spPr>
                          <a:xfrm>
                            <a:off x="457200" y="7633970"/>
                            <a:ext cx="9121144" cy="1562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B7545" w:rsidRDefault="00000000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>Representação formulada por Deputado Distrital, contestando a retenção dos créditos dos cartões vale-transporte após 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" name="Rectangle 35"/>
                        <wps:cNvSpPr/>
                        <wps:spPr>
                          <a:xfrm>
                            <a:off x="457200" y="7781798"/>
                            <a:ext cx="9121143" cy="1562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B7545" w:rsidRDefault="00000000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>prazo fixado no Decreto nº 43.899/2022. O Representante  alega ainda que há irregularidades em virtude de extrapolar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" name="Rectangle 36"/>
                        <wps:cNvSpPr/>
                        <wps:spPr>
                          <a:xfrm>
                            <a:off x="457200" y="7929626"/>
                            <a:ext cx="9121142" cy="1562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B7545" w:rsidRDefault="00000000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>competência constitucional, ferir direito de propriedade e realização de confisco. O decreto nº 43.899/2022 foi revogado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" name="Rectangle 37"/>
                        <wps:cNvSpPr/>
                        <wps:spPr>
                          <a:xfrm>
                            <a:off x="457200" y="8077454"/>
                            <a:ext cx="9120971" cy="1562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B7545" w:rsidRDefault="00000000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>pelo decreto nº 44.432/2023, mas isso não foi óbice para o prosseguimento do mérito da representação. O relator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" name="Rectangle 38"/>
                        <wps:cNvSpPr/>
                        <wps:spPr>
                          <a:xfrm>
                            <a:off x="457200" y="8225283"/>
                            <a:ext cx="9121142" cy="1562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B7545" w:rsidRDefault="00000000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>entendeu que é competência dos municípios organizar e prestar serviços públicos de interesse local, inclusive transporte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" name="Rectangle 39"/>
                        <wps:cNvSpPr/>
                        <wps:spPr>
                          <a:xfrm>
                            <a:off x="457200" y="8373237"/>
                            <a:ext cx="9120464" cy="1562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B7545" w:rsidRDefault="00000000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>público. Logo, a fixação de prazo de validade  dos créditos de cartões de bilhetagem, relativos a ações inerentes à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" name="Rectangle 40"/>
                        <wps:cNvSpPr/>
                        <wps:spPr>
                          <a:xfrm>
                            <a:off x="457200" y="8521065"/>
                            <a:ext cx="9121142" cy="1562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B7545" w:rsidRDefault="00000000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>política tarifária do Sistema de Transporte Público Coletivo, insere-se no rol de competências do Distrito Federal. Quanto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" name="Rectangle 41"/>
                        <wps:cNvSpPr/>
                        <wps:spPr>
                          <a:xfrm>
                            <a:off x="457200" y="8668893"/>
                            <a:ext cx="9119958" cy="1562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B7545" w:rsidRDefault="00000000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>ao confisco, a retenção dos créditos vencidos em favor os cofres distritais objetiva garantir a moderação tarifária do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" name="Rectangle 42"/>
                        <wps:cNvSpPr/>
                        <wps:spPr>
                          <a:xfrm>
                            <a:off x="457200" y="8816721"/>
                            <a:ext cx="9121144" cy="1562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B7545" w:rsidRDefault="00000000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>STPC; permitir equilíbrio econômico-financeiro do sistema sem orçamento do governo local, haja vista a participação do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" name="Rectangle 43"/>
                        <wps:cNvSpPr/>
                        <wps:spPr>
                          <a:xfrm>
                            <a:off x="457200" y="8964549"/>
                            <a:ext cx="9121144" cy="1562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B7545" w:rsidRDefault="00000000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>GDF no pagamento de parcela das tarifas técnicas e das gratuidades asseguradas em lei; além de combater possíveis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" name="Rectangle 44"/>
                        <wps:cNvSpPr/>
                        <wps:spPr>
                          <a:xfrm>
                            <a:off x="457200" y="9112377"/>
                            <a:ext cx="6621215" cy="1562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B7545" w:rsidRDefault="00000000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>fraudes. Desse modo, o tribunal considerou, no mérito, improcedente a representação.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" name="Rectangle 45"/>
                        <wps:cNvSpPr/>
                        <wps:spPr>
                          <a:xfrm>
                            <a:off x="457200" y="9780270"/>
                            <a:ext cx="638142" cy="1562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B7545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sz w:val="20"/>
                                </w:rPr>
                                <w:t>Relator: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" name="Rectangle 46"/>
                        <wps:cNvSpPr/>
                        <wps:spPr>
                          <a:xfrm>
                            <a:off x="3683000" y="9780270"/>
                            <a:ext cx="647770" cy="1562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B7545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sz w:val="20"/>
                                </w:rPr>
                                <w:t>Sessão: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" name="Rectangle 47"/>
                        <wps:cNvSpPr/>
                        <wps:spPr>
                          <a:xfrm>
                            <a:off x="457200" y="6922770"/>
                            <a:ext cx="9140565" cy="1562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B7545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sz w:val="20"/>
                                </w:rPr>
                                <w:t>REPRESENTAÇÃO. SECRETARIA DE ESTADO DE TRANSPORTE E MOBILIDADE DO DISTRITO FEDERAL.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" name="Rectangle 48"/>
                        <wps:cNvSpPr/>
                        <wps:spPr>
                          <a:xfrm>
                            <a:off x="457200" y="7070598"/>
                            <a:ext cx="9139383" cy="1562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B7545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sz w:val="20"/>
                                </w:rPr>
                                <w:t>SISTEMA DE TRANSPORTE PÚBLICO COLETIVO. BILHETAGEM AUTOMÁTICA. VALIDADE DE CRÉDITOS.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" name="Rectangle 49"/>
                        <wps:cNvSpPr/>
                        <wps:spPr>
                          <a:xfrm>
                            <a:off x="457200" y="7218426"/>
                            <a:ext cx="8448371" cy="1562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B7545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sz w:val="20"/>
                                </w:rPr>
                                <w:t>CONHECIMENTO. ESCLARECIMENTOS. ANÁLISE DE MÉRITO. IMPROCEDÊNCIA. ARQUIVAMENTO.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946" style="width:595pt;height:842pt;position:absolute;mso-position-horizontal-relative:page;mso-position-horizontal:absolute;margin-left:0pt;mso-position-vertical-relative:page;margin-top:-7.62939e-06pt;" coordsize="75565,106934">
                <v:shape id="Shape 1014" style="position:absolute;width:4064;height:99314;left:0;top:0;" coordsize="406400,9931400" path="m0,0l406400,0l406400,9931400l0,9931400l0,0">
                  <v:stroke weight="0pt" endcap="square" joinstyle="miter" miterlimit="10" on="false" color="#000000" opacity="0"/>
                  <v:fill on="true" color="#01447f"/>
                </v:shape>
                <v:shape id="Shape 1015" style="position:absolute;width:75565;height:7620;left:0;top:99314;" coordsize="7556500,762000" path="m0,0l7556500,0l7556500,762000l0,762000l0,0">
                  <v:stroke weight="0pt" endcap="square" joinstyle="miter" miterlimit="10" on="false" color="#000000" opacity="0"/>
                  <v:fill on="true" color="#01447f"/>
                </v:shape>
                <v:rect id="Rectangle 8" style="position:absolute;width:3756;height:6249;left:67421;top:10123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color w:val="ffffff"/>
                            <w:sz w:val="80"/>
                          </w:rPr>
                          <w:t xml:space="preserve">1</w:t>
                        </w:r>
                      </w:p>
                    </w:txbxContent>
                  </v:textbox>
                </v:rect>
                <v:rect id="Rectangle 10" style="position:absolute;width:90197;height:1874;left:5334;top:304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sz w:val="24"/>
                          </w:rPr>
                          <w:t xml:space="preserve">     O Boletim de Jurisprudência do TCDF é uma publicação periódica elaborada pela Supervisão de</w:t>
                        </w:r>
                      </w:p>
                    </w:txbxContent>
                  </v:textbox>
                </v:rect>
                <v:rect id="Rectangle 11" style="position:absolute;width:90199;height:1874;left:5334;top:3284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sz w:val="24"/>
                          </w:rPr>
                          <w:t xml:space="preserve">Sistemas de Informação, Legislação e Jurisprudência, da Coordenadoria de Biblioteca, Gestão da</w:t>
                        </w:r>
                      </w:p>
                    </w:txbxContent>
                  </v:textbox>
                </v:rect>
                <v:rect id="Rectangle 12" style="position:absolute;width:90197;height:1874;left:5334;top:3526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sz w:val="24"/>
                          </w:rPr>
                          <w:t xml:space="preserve">Informação e do Conhecimento, com a finalidade de apresentar resumos das teses constantes em</w:t>
                        </w:r>
                      </w:p>
                    </w:txbxContent>
                  </v:textbox>
                </v:rect>
                <v:rect id="Rectangle 13" style="position:absolute;width:90193;height:1874;left:5334;top:3768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sz w:val="24"/>
                          </w:rPr>
                          <w:t xml:space="preserve">decisões desta Corte que se enquadrem em critérios de relevância, reiteração, ineditismo ou</w:t>
                        </w:r>
                      </w:p>
                    </w:txbxContent>
                  </v:textbox>
                </v:rect>
                <v:rect id="Rectangle 14" style="position:absolute;width:11602;height:1874;left:5334;top:4010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sz w:val="24"/>
                          </w:rPr>
                          <w:t xml:space="preserve">controvérsia.</w:t>
                        </w:r>
                      </w:p>
                    </w:txbxContent>
                  </v:textbox>
                </v:rect>
                <v:rect id="Rectangle 15" style="position:absolute;width:90197;height:1874;left:5334;top:4253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sz w:val="24"/>
                          </w:rPr>
                          <w:t xml:space="preserve">     Ressalta-se, todavia, que as informações aqui apresentadas não constituem resumo oficial das</w:t>
                        </w:r>
                      </w:p>
                    </w:txbxContent>
                  </v:textbox>
                </v:rect>
                <v:rect id="Rectangle 16" style="position:absolute;width:90194;height:1874;left:5334;top:4495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sz w:val="24"/>
                          </w:rPr>
                          <w:t xml:space="preserve">decisões proferidas pelo Tribunal nem representam, necessariamente, o posicionamento</w:t>
                        </w:r>
                      </w:p>
                    </w:txbxContent>
                  </v:textbox>
                </v:rect>
                <v:rect id="Rectangle 17" style="position:absolute;width:41601;height:1874;left:5334;top:4737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sz w:val="24"/>
                          </w:rPr>
                          <w:t xml:space="preserve">prevalecente na Corte sobre a matéria.</w:t>
                        </w:r>
                      </w:p>
                    </w:txbxContent>
                  </v:textbox>
                </v:rect>
                <v:rect id="Rectangle 18" style="position:absolute;width:90189;height:1874;left:5334;top:4979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sz w:val="24"/>
                          </w:rPr>
                          <w:t xml:space="preserve">     Este boletim informativo não substitui a publicação oficial das decisões. Para um exame mais</w:t>
                        </w:r>
                      </w:p>
                    </w:txbxContent>
                  </v:textbox>
                </v:rect>
                <v:rect id="Rectangle 19" style="position:absolute;width:90205;height:1874;left:5334;top:5222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sz w:val="24"/>
                          </w:rPr>
                          <w:t xml:space="preserve">aprofundado da decisão, sugere-se o acesso aos documentos do processo por meio dos links</w:t>
                        </w:r>
                      </w:p>
                    </w:txbxContent>
                  </v:textbox>
                </v:rect>
                <v:rect id="Rectangle 20" style="position:absolute;width:26666;height:1874;left:5334;top:5464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sz w:val="24"/>
                          </w:rPr>
                          <w:t xml:space="preserve">presentes em cada decisão.</w:t>
                        </w:r>
                      </w:p>
                    </w:txbxContent>
                  </v:textbox>
                </v:rect>
                <v:rect id="Rectangle 21" style="position:absolute;width:55989;height:1874;left:5334;top:5706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sz w:val="24"/>
                          </w:rPr>
                          <w:t xml:space="preserve">     Deseja receber os Boletins de Jurisprudência do Tribunal? </w:t>
                        </w:r>
                      </w:p>
                    </w:txbxContent>
                  </v:textbox>
                </v:rect>
                <v:rect id="Rectangle 944" style="position:absolute;width:10138;height:1874;left:47431;top:5706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50">
                          <w:r>
                            <w:rPr>
                              <w:rFonts w:cs="Arial" w:hAnsi="Arial" w:eastAsia="Arial" w:ascii="Arial"/>
                              <w:color w:val="0000ff"/>
                              <w:sz w:val="24"/>
                              <w:u w:val="single" w:color="0000ff"/>
                            </w:rPr>
                            <w:t xml:space="preserve">Clique aqui</w:t>
                          </w:r>
                        </w:hyperlink>
                      </w:p>
                    </w:txbxContent>
                  </v:textbox>
                </v:rect>
                <v:rect id="Rectangle 943" style="position:absolute;width:563;height:1874;left:55054;top:5706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50">
                          <w:r>
                            <w:rPr>
                              <w:rFonts w:cs="Arial" w:hAnsi="Arial" w:eastAsia="Arial" w:ascii="Arial"/>
                              <w:color w:val="0000ff"/>
                              <w:sz w:val="24"/>
                              <w:u w:val="single" w:color="0000ff"/>
                            </w:rPr>
                            <w:t xml:space="preserve">.</w:t>
                          </w:r>
                        </w:hyperlink>
                      </w:p>
                    </w:txbxContent>
                  </v:textbox>
                </v:rect>
                <v:shape id="Picture 24" style="position:absolute;width:75565;height:9032;left:0;top:0;" filled="f">
                  <v:imagedata r:id="rId8"/>
                </v:shape>
                <v:shape id="Shape 1016" style="position:absolute;width:67818;height:7620;left:5080;top:17780;" coordsize="6781800,762000" path="m0,0l6781800,0l6781800,762000l0,762000l0,0">
                  <v:stroke weight="0pt" endcap="square" joinstyle="miter" miterlimit="10" on="false" color="#000000" opacity="0"/>
                  <v:fill on="true" color="#01447f"/>
                </v:shape>
                <v:rect id="Rectangle 26" style="position:absolute;width:44548;height:3281;left:5715;top:1904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color w:val="ffffff"/>
                            <w:sz w:val="42"/>
                          </w:rPr>
                          <w:t xml:space="preserve">Boletim de Jurisprudência</w:t>
                        </w:r>
                      </w:p>
                    </w:txbxContent>
                  </v:textbox>
                </v:rect>
                <v:rect id="Rectangle 27" style="position:absolute;width:34020;height:3281;left:5715;top:2215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color w:val="ffffff"/>
                            <w:sz w:val="42"/>
                          </w:rPr>
                          <w:t xml:space="preserve">Gestão Pública, nº 1</w:t>
                        </w:r>
                      </w:p>
                    </w:txbxContent>
                  </v:textbox>
                </v:rect>
                <v:shape id="Picture 999" style="position:absolute;width:74828;height:9052;left:609;top:609;" filled="f">
                  <v:imagedata r:id="rId9"/>
                </v:shape>
                <v:rect id="Rectangle 30" style="position:absolute;width:34698;height:1874;left:5715;top:2711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24"/>
                          </w:rPr>
                          <w:t xml:space="preserve">Sessões de janeiro a junho de 2024.</w:t>
                        </w:r>
                      </w:p>
                    </w:txbxContent>
                  </v:textbox>
                </v:rect>
                <v:shape id="Shape 31" style="position:absolute;width:36830;height:0;left:19050;top:65151;" coordsize="3683000,0" path="m0,0l3683000,0">
                  <v:stroke weight="1pt" endcap="flat" joinstyle="miter" miterlimit="10" on="true" color="#000000"/>
                  <v:fill on="false" color="#000000" opacity="0"/>
                </v:shape>
                <v:shape id="Shape 1017" style="position:absolute;width:3175;height:2540;left:635;top:68961;" coordsize="317500,254000" path="m0,0l317500,0l317500,254000l0,254000l0,0">
                  <v:stroke weight="0pt" endcap="square" joinstyle="miter" miterlimit="10" on="false" color="#000000" opacity="0"/>
                  <v:fill on="true" color="#01447f"/>
                </v:shape>
                <v:rect id="Rectangle 33" style="position:absolute;width:1314;height:2187;left:1728;top:6933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color w:val="ffffff"/>
                            <w:sz w:val="28"/>
                          </w:rPr>
                          <w:t xml:space="preserve">1</w:t>
                        </w:r>
                      </w:p>
                    </w:txbxContent>
                  </v:textbox>
                </v:rect>
                <v:rect id="Rectangle 34" style="position:absolute;width:91211;height:1562;left:4572;top:7633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sz w:val="20"/>
                          </w:rPr>
                          <w:t xml:space="preserve">Representação formulada por Deputado Distrital, contestando a retenção dos créditos dos cartões vale-transporte após o</w:t>
                        </w:r>
                      </w:p>
                    </w:txbxContent>
                  </v:textbox>
                </v:rect>
                <v:rect id="Rectangle 35" style="position:absolute;width:91211;height:1562;left:4572;top:7781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sz w:val="20"/>
                          </w:rPr>
                          <w:t xml:space="preserve">prazo fixado no Decreto nº 43.899/2022. O Representante  alega ainda que há irregularidades em virtude de extrapolar</w:t>
                        </w:r>
                      </w:p>
                    </w:txbxContent>
                  </v:textbox>
                </v:rect>
                <v:rect id="Rectangle 36" style="position:absolute;width:91211;height:1562;left:4572;top:7929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sz w:val="20"/>
                          </w:rPr>
                          <w:t xml:space="preserve">competência constitucional, ferir direito de propriedade e realização de confisco. O decreto nº 43.899/2022 foi revogado</w:t>
                        </w:r>
                      </w:p>
                    </w:txbxContent>
                  </v:textbox>
                </v:rect>
                <v:rect id="Rectangle 37" style="position:absolute;width:91209;height:1562;left:4572;top:8077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sz w:val="20"/>
                          </w:rPr>
                          <w:t xml:space="preserve">pelo decreto nº 44.432/2023, mas isso não foi óbice para o prosseguimento do mérito da representação. O relator</w:t>
                        </w:r>
                      </w:p>
                    </w:txbxContent>
                  </v:textbox>
                </v:rect>
                <v:rect id="Rectangle 38" style="position:absolute;width:91211;height:1562;left:4572;top:8225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sz w:val="20"/>
                          </w:rPr>
                          <w:t xml:space="preserve">entendeu que é competência dos municípios organizar e prestar serviços públicos de interesse local, inclusive transporte</w:t>
                        </w:r>
                      </w:p>
                    </w:txbxContent>
                  </v:textbox>
                </v:rect>
                <v:rect id="Rectangle 39" style="position:absolute;width:91204;height:1562;left:4572;top:8373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sz w:val="20"/>
                          </w:rPr>
                          <w:t xml:space="preserve">público. Logo, a fixação de prazo de validade  dos créditos de cartões de bilhetagem, relativos a ações inerentes à</w:t>
                        </w:r>
                      </w:p>
                    </w:txbxContent>
                  </v:textbox>
                </v:rect>
                <v:rect id="Rectangle 40" style="position:absolute;width:91211;height:1562;left:4572;top:8521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sz w:val="20"/>
                          </w:rPr>
                          <w:t xml:space="preserve">política tarifária do Sistema de Transporte Público Coletivo, insere-se no rol de competências do Distrito Federal. Quanto</w:t>
                        </w:r>
                      </w:p>
                    </w:txbxContent>
                  </v:textbox>
                </v:rect>
                <v:rect id="Rectangle 41" style="position:absolute;width:91199;height:1562;left:4572;top:8668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sz w:val="20"/>
                          </w:rPr>
                          <w:t xml:space="preserve">ao confisco, a retenção dos créditos vencidos em favor os cofres distritais objetiva garantir a moderação tarifária do</w:t>
                        </w:r>
                      </w:p>
                    </w:txbxContent>
                  </v:textbox>
                </v:rect>
                <v:rect id="Rectangle 42" style="position:absolute;width:91211;height:1562;left:4572;top:8816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sz w:val="20"/>
                          </w:rPr>
                          <w:t xml:space="preserve">STPC; permitir equilíbrio econômico-financeiro do sistema sem orçamento do governo local, haja vista a participação do</w:t>
                        </w:r>
                      </w:p>
                    </w:txbxContent>
                  </v:textbox>
                </v:rect>
                <v:rect id="Rectangle 43" style="position:absolute;width:91211;height:1562;left:4572;top:8964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sz w:val="20"/>
                          </w:rPr>
                          <w:t xml:space="preserve">GDF no pagamento de parcela das tarifas técnicas e das gratuidades asseguradas em lei; além de combater possíveis</w:t>
                        </w:r>
                      </w:p>
                    </w:txbxContent>
                  </v:textbox>
                </v:rect>
                <v:rect id="Rectangle 44" style="position:absolute;width:66212;height:1562;left:4572;top:9112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sz w:val="20"/>
                          </w:rPr>
                          <w:t xml:space="preserve">fraudes. Desse modo, o tribunal considerou, no mérito, improcedente a representação.</w:t>
                        </w:r>
                      </w:p>
                    </w:txbxContent>
                  </v:textbox>
                </v:rect>
                <v:rect id="Rectangle 45" style="position:absolute;width:6381;height:1562;left:4572;top:9780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20"/>
                          </w:rPr>
                          <w:t xml:space="preserve">Relator:</w:t>
                        </w:r>
                      </w:p>
                    </w:txbxContent>
                  </v:textbox>
                </v:rect>
                <v:rect id="Rectangle 46" style="position:absolute;width:6477;height:1562;left:36830;top:9780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20"/>
                          </w:rPr>
                          <w:t xml:space="preserve">Sessão:</w:t>
                        </w:r>
                      </w:p>
                    </w:txbxContent>
                  </v:textbox>
                </v:rect>
                <v:rect id="Rectangle 47" style="position:absolute;width:91405;height:1562;left:4572;top:6922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20"/>
                          </w:rPr>
                          <w:t xml:space="preserve">REPRESENTAÇÃO. SECRETARIA DE ESTADO DE TRANSPORTE E MOBILIDADE DO DISTRITO FEDERAL.</w:t>
                        </w:r>
                      </w:p>
                    </w:txbxContent>
                  </v:textbox>
                </v:rect>
                <v:rect id="Rectangle 48" style="position:absolute;width:91393;height:1562;left:4572;top:7070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20"/>
                          </w:rPr>
                          <w:t xml:space="preserve">SISTEMA DE TRANSPORTE PÚBLICO COLETIVO. BILHETAGEM AUTOMÁTICA. VALIDADE DE CRÉDITOS.</w:t>
                        </w:r>
                      </w:p>
                    </w:txbxContent>
                  </v:textbox>
                </v:rect>
                <v:rect id="Rectangle 49" style="position:absolute;width:84483;height:1562;left:4572;top:7218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20"/>
                          </w:rPr>
                          <w:t xml:space="preserve">CONHECIMENTO. ESCLARECIMENTOS. ANÁLISE DE MÉRITO. IMPROCEDÊNCIA. ARQUIVAMENTO.</w:t>
                        </w:r>
                      </w:p>
                    </w:txbxContent>
                  </v:textbox>
                </v:rect>
                <w10:wrap type="topAndBottom"/>
              </v:group>
            </w:pict>
          </mc:Fallback>
        </mc:AlternateContent>
      </w:r>
      <w:r>
        <w:br w:type="page"/>
      </w:r>
    </w:p>
    <w:p w:rsidR="00BB7545" w:rsidRDefault="00000000">
      <w:pPr>
        <w:spacing w:after="0"/>
        <w:ind w:left="-1440" w:right="10460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93400"/>
                <wp:effectExtent l="0" t="0" r="0" b="0"/>
                <wp:wrapTopAndBottom/>
                <wp:docPr id="903" name="Group 9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6500" cy="10693400"/>
                          <a:chOff x="0" y="0"/>
                          <a:chExt cx="7556500" cy="10693400"/>
                        </a:xfrm>
                      </wpg:grpSpPr>
                      <wps:wsp>
                        <wps:cNvPr id="1018" name="Shape 1018"/>
                        <wps:cNvSpPr/>
                        <wps:spPr>
                          <a:xfrm>
                            <a:off x="0" y="0"/>
                            <a:ext cx="406400" cy="9931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6400" h="9931400">
                                <a:moveTo>
                                  <a:pt x="0" y="0"/>
                                </a:moveTo>
                                <a:lnTo>
                                  <a:pt x="406400" y="0"/>
                                </a:lnTo>
                                <a:lnTo>
                                  <a:pt x="406400" y="9931400"/>
                                </a:lnTo>
                                <a:lnTo>
                                  <a:pt x="0" y="99314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1447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9" name="Shape 1019"/>
                        <wps:cNvSpPr/>
                        <wps:spPr>
                          <a:xfrm>
                            <a:off x="0" y="9931400"/>
                            <a:ext cx="7556500" cy="762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56500" h="762000">
                                <a:moveTo>
                                  <a:pt x="0" y="0"/>
                                </a:moveTo>
                                <a:lnTo>
                                  <a:pt x="7556500" y="0"/>
                                </a:lnTo>
                                <a:lnTo>
                                  <a:pt x="7556500" y="762000"/>
                                </a:lnTo>
                                <a:lnTo>
                                  <a:pt x="0" y="7620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1447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Rectangle 57"/>
                        <wps:cNvSpPr/>
                        <wps:spPr>
                          <a:xfrm>
                            <a:off x="6742176" y="10123551"/>
                            <a:ext cx="375656" cy="62496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B7545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FFFFFF"/>
                                  <w:sz w:val="80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" name="Rectangle 58"/>
                        <wps:cNvSpPr/>
                        <wps:spPr>
                          <a:xfrm>
                            <a:off x="457200" y="521970"/>
                            <a:ext cx="2055635" cy="1562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B7545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sz w:val="20"/>
                                </w:rPr>
                                <w:t>Decisão por unanimidade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" name="Rectangle 59"/>
                        <wps:cNvSpPr/>
                        <wps:spPr>
                          <a:xfrm>
                            <a:off x="457200" y="280670"/>
                            <a:ext cx="2628409" cy="1562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B7545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sz w:val="20"/>
                                </w:rPr>
                                <w:t>André Clemente Lara De Oliveira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" name="Rectangle 60"/>
                        <wps:cNvSpPr/>
                        <wps:spPr>
                          <a:xfrm>
                            <a:off x="3683000" y="280670"/>
                            <a:ext cx="2821642" cy="1562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B7545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sz w:val="20"/>
                                </w:rPr>
                                <w:t>ORDINÁRIA nº 5367, de 31/01/2024.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" name="Rectangle 61"/>
                        <wps:cNvSpPr/>
                        <wps:spPr>
                          <a:xfrm>
                            <a:off x="457200" y="953770"/>
                            <a:ext cx="1915102" cy="1562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B7545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sz w:val="20"/>
                                </w:rPr>
                                <w:t>Legislação relacionada: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94" name="Rectangle 894"/>
                        <wps:cNvSpPr/>
                        <wps:spPr>
                          <a:xfrm>
                            <a:off x="457200" y="1207771"/>
                            <a:ext cx="1639103" cy="1562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B7545" w:rsidRDefault="00000000">
                              <w:hyperlink r:id="rId10">
                                <w:r>
                                  <w:rPr>
                                    <w:rFonts w:ascii="Arial" w:eastAsia="Arial" w:hAnsi="Arial" w:cs="Arial"/>
                                    <w:color w:val="2205FC"/>
                                    <w:sz w:val="20"/>
                                    <w:u w:val="single" w:color="2205FC"/>
                                  </w:rPr>
                                  <w:t>Decreto nº 44432/202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93" name="Rectangle 893"/>
                        <wps:cNvSpPr/>
                        <wps:spPr>
                          <a:xfrm>
                            <a:off x="1689608" y="1207771"/>
                            <a:ext cx="93914" cy="1562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B7545" w:rsidRDefault="00000000">
                              <w:hyperlink r:id="rId11">
                                <w:r>
                                  <w:rPr>
                                    <w:rFonts w:ascii="Arial" w:eastAsia="Arial" w:hAnsi="Arial" w:cs="Arial"/>
                                    <w:color w:val="2205FC"/>
                                    <w:sz w:val="20"/>
                                    <w:u w:val="single" w:color="2205FC"/>
                                  </w:rPr>
                                  <w:t>3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96" name="Rectangle 896"/>
                        <wps:cNvSpPr/>
                        <wps:spPr>
                          <a:xfrm>
                            <a:off x="457200" y="1474471"/>
                            <a:ext cx="1639103" cy="1562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B7545" w:rsidRDefault="00000000">
                              <w:hyperlink r:id="rId12" w:anchor=":~:text=Decreto%2043899%20de%2031%2F10%2F2022%20Disp%C3%B5e%20sobre%20o%20prazo,Transporte%20P%C3%BAblic">
                                <w:r>
                                  <w:rPr>
                                    <w:rFonts w:ascii="Arial" w:eastAsia="Arial" w:hAnsi="Arial" w:cs="Arial"/>
                                    <w:color w:val="2205FC"/>
                                    <w:sz w:val="20"/>
                                    <w:u w:val="single" w:color="2205FC"/>
                                  </w:rPr>
                                  <w:t>Decreto nº 43899/202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95" name="Rectangle 895"/>
                        <wps:cNvSpPr/>
                        <wps:spPr>
                          <a:xfrm>
                            <a:off x="1689608" y="1474471"/>
                            <a:ext cx="93914" cy="1562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B7545" w:rsidRDefault="00000000">
                              <w:hyperlink r:id="rId13" w:anchor=":~:text=Decreto%2043899%20de%2031%2F10%2F2022%20Disp%C3%B5e%20sobre%20o%20prazo,Transporte%20P%C3%BAblic">
                                <w:r>
                                  <w:rPr>
                                    <w:rFonts w:ascii="Arial" w:eastAsia="Arial" w:hAnsi="Arial" w:cs="Arial"/>
                                    <w:color w:val="2205FC"/>
                                    <w:sz w:val="20"/>
                                    <w:u w:val="single" w:color="2205FC"/>
                                  </w:rPr>
                                  <w:t>2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98" name="Rectangle 898"/>
                        <wps:cNvSpPr/>
                        <wps:spPr>
                          <a:xfrm>
                            <a:off x="457200" y="1741171"/>
                            <a:ext cx="3004403" cy="1562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B7545" w:rsidRDefault="00000000">
                              <w:hyperlink r:id="rId14">
                                <w:r>
                                  <w:rPr>
                                    <w:rFonts w:ascii="Arial" w:eastAsia="Arial" w:hAnsi="Arial" w:cs="Arial"/>
                                    <w:color w:val="2205FC"/>
                                    <w:sz w:val="20"/>
                                    <w:u w:val="single" w:color="2205FC"/>
                                  </w:rPr>
                                  <w:t>Constituição Federal de 1988, Art. 30, V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97" name="Rectangle 897"/>
                        <wps:cNvSpPr/>
                        <wps:spPr>
                          <a:xfrm>
                            <a:off x="2716149" y="1741171"/>
                            <a:ext cx="46957" cy="1562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B7545" w:rsidRDefault="00000000">
                              <w:hyperlink r:id="rId15">
                                <w:r>
                                  <w:rPr>
                                    <w:rFonts w:ascii="Arial" w:eastAsia="Arial" w:hAnsi="Arial" w:cs="Arial"/>
                                    <w:color w:val="2205FC"/>
                                    <w:sz w:val="20"/>
                                    <w:u w:val="single" w:color="2205FC"/>
                                  </w:rPr>
                                  <w:t>.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00" name="Rectangle 900"/>
                        <wps:cNvSpPr/>
                        <wps:spPr>
                          <a:xfrm>
                            <a:off x="457200" y="2007871"/>
                            <a:ext cx="2222687" cy="1562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B7545" w:rsidRDefault="00000000">
                              <w:hyperlink r:id="rId16">
                                <w:r>
                                  <w:rPr>
                                    <w:rFonts w:ascii="Arial" w:eastAsia="Arial" w:hAnsi="Arial" w:cs="Arial"/>
                                    <w:color w:val="2205FC"/>
                                    <w:sz w:val="20"/>
                                    <w:u w:val="single" w:color="2205FC"/>
                                  </w:rPr>
                                  <w:t>Lei nº 8987/1995, Art. 6º, § 1º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99" name="Rectangle 899"/>
                        <wps:cNvSpPr/>
                        <wps:spPr>
                          <a:xfrm>
                            <a:off x="2128393" y="2007871"/>
                            <a:ext cx="46957" cy="1562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B7545" w:rsidRDefault="00000000">
                              <w:hyperlink r:id="rId17">
                                <w:r>
                                  <w:rPr>
                                    <w:rFonts w:ascii="Arial" w:eastAsia="Arial" w:hAnsi="Arial" w:cs="Arial"/>
                                    <w:color w:val="2205FC"/>
                                    <w:sz w:val="20"/>
                                    <w:u w:val="single" w:color="2205FC"/>
                                  </w:rPr>
                                  <w:t>.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02" name="Rectangle 902"/>
                        <wps:cNvSpPr/>
                        <wps:spPr>
                          <a:xfrm>
                            <a:off x="457200" y="2274571"/>
                            <a:ext cx="2316601" cy="1562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B7545" w:rsidRDefault="00000000">
                              <w:hyperlink r:id="rId18">
                                <w:r>
                                  <w:rPr>
                                    <w:rFonts w:ascii="Arial" w:eastAsia="Arial" w:hAnsi="Arial" w:cs="Arial"/>
                                    <w:color w:val="2205FC"/>
                                    <w:sz w:val="20"/>
                                    <w:u w:val="single" w:color="2205FC"/>
                                  </w:rPr>
                                  <w:t>Lei nº 12587/2012, Art. 9º, § 5º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01" name="Rectangle 901"/>
                        <wps:cNvSpPr/>
                        <wps:spPr>
                          <a:xfrm>
                            <a:off x="2199005" y="2274571"/>
                            <a:ext cx="46957" cy="1562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B7545" w:rsidRDefault="00000000">
                              <w:hyperlink r:id="rId19">
                                <w:r>
                                  <w:rPr>
                                    <w:rFonts w:ascii="Arial" w:eastAsia="Arial" w:hAnsi="Arial" w:cs="Arial"/>
                                    <w:color w:val="2205FC"/>
                                    <w:sz w:val="20"/>
                                    <w:u w:val="single" w:color="2205FC"/>
                                  </w:rPr>
                                  <w:t>.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92" name="Rectangle 892"/>
                        <wps:cNvSpPr/>
                        <wps:spPr>
                          <a:xfrm>
                            <a:off x="3683000" y="521970"/>
                            <a:ext cx="2799345" cy="1562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B7545" w:rsidRDefault="00000000">
                              <w:hyperlink r:id="rId20">
                                <w:r>
                                  <w:rPr>
                                    <w:rFonts w:ascii="Arial" w:eastAsia="Arial" w:hAnsi="Arial" w:cs="Arial"/>
                                    <w:color w:val="2205FC"/>
                                    <w:sz w:val="20"/>
                                    <w:u w:val="single" w:color="2205FC"/>
                                  </w:rPr>
                                  <w:t>Proc. nº 1702/2023 - Dec. nº 195/202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91" name="Rectangle 891"/>
                        <wps:cNvSpPr/>
                        <wps:spPr>
                          <a:xfrm>
                            <a:off x="5787771" y="521970"/>
                            <a:ext cx="93914" cy="1562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B7545" w:rsidRDefault="00000000">
                              <w:hyperlink r:id="rId21">
                                <w:r>
                                  <w:rPr>
                                    <w:rFonts w:ascii="Arial" w:eastAsia="Arial" w:hAnsi="Arial" w:cs="Arial"/>
                                    <w:color w:val="2205FC"/>
                                    <w:sz w:val="20"/>
                                    <w:u w:val="single" w:color="2205FC"/>
                                  </w:rPr>
                                  <w:t>4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" name="Shape 74"/>
                        <wps:cNvSpPr/>
                        <wps:spPr>
                          <a:xfrm>
                            <a:off x="635000" y="2578100"/>
                            <a:ext cx="6350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000">
                                <a:moveTo>
                                  <a:pt x="0" y="0"/>
                                </a:moveTo>
                                <a:lnTo>
                                  <a:pt x="635000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Rectangle 75"/>
                        <wps:cNvSpPr/>
                        <wps:spPr>
                          <a:xfrm>
                            <a:off x="1438275" y="10034270"/>
                            <a:ext cx="6140048" cy="1562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B7545" w:rsidRDefault="00000000">
                              <w:r>
                                <w:rPr>
                                  <w:rFonts w:ascii="Arial" w:eastAsia="Arial" w:hAnsi="Arial" w:cs="Arial"/>
                                  <w:color w:val="FFFFFF"/>
                                  <w:sz w:val="20"/>
                                </w:rPr>
                                <w:t>Coordenadoria de Biblioteca, Gestão da Informação e do Conhecimento – COBGI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" name="Rectangle 76"/>
                        <wps:cNvSpPr/>
                        <wps:spPr>
                          <a:xfrm>
                            <a:off x="1657223" y="10182098"/>
                            <a:ext cx="5557647" cy="1562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B7545" w:rsidRDefault="00000000">
                              <w:r>
                                <w:rPr>
                                  <w:rFonts w:ascii="Arial" w:eastAsia="Arial" w:hAnsi="Arial" w:cs="Arial"/>
                                  <w:color w:val="FFFFFF"/>
                                  <w:sz w:val="20"/>
                                </w:rPr>
                                <w:t>Supervisão de Sistemas de Informação, Legislação e Jurisprudência - SSI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" name="Rectangle 77"/>
                        <wps:cNvSpPr/>
                        <wps:spPr>
                          <a:xfrm>
                            <a:off x="1702054" y="10329926"/>
                            <a:ext cx="797762" cy="1562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B7545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FFFFFF"/>
                                  <w:sz w:val="20"/>
                                </w:rPr>
                                <w:t xml:space="preserve">Telefone: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89" name="Rectangle 889"/>
                        <wps:cNvSpPr/>
                        <wps:spPr>
                          <a:xfrm>
                            <a:off x="2301875" y="10329926"/>
                            <a:ext cx="2000063" cy="1562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B7545" w:rsidRDefault="00000000">
                              <w:r>
                                <w:rPr>
                                  <w:rFonts w:ascii="Arial" w:eastAsia="Arial" w:hAnsi="Arial" w:cs="Arial"/>
                                  <w:color w:val="FFFFFF"/>
                                  <w:sz w:val="20"/>
                                </w:rPr>
                                <w:t>(61) 3314-2226/2593/2259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90" name="Rectangle 890"/>
                        <wps:cNvSpPr/>
                        <wps:spPr>
                          <a:xfrm>
                            <a:off x="3805682" y="10329926"/>
                            <a:ext cx="46957" cy="1562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B7545" w:rsidRDefault="00000000">
                              <w:r>
                                <w:rPr>
                                  <w:rFonts w:ascii="Arial" w:eastAsia="Arial" w:hAnsi="Arial" w:cs="Arial"/>
                                  <w:color w:val="FFFFFF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9" name="Rectangle 79"/>
                        <wps:cNvSpPr/>
                        <wps:spPr>
                          <a:xfrm>
                            <a:off x="3840988" y="10329926"/>
                            <a:ext cx="535107" cy="1562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B7545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FFFFFF"/>
                                  <w:sz w:val="20"/>
                                </w:rPr>
                                <w:t xml:space="preserve">email: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0" name="Rectangle 80"/>
                        <wps:cNvSpPr/>
                        <wps:spPr>
                          <a:xfrm>
                            <a:off x="4243324" y="10329926"/>
                            <a:ext cx="2058337" cy="1562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B7545" w:rsidRDefault="00000000">
                              <w:r>
                                <w:rPr>
                                  <w:rFonts w:ascii="Arial" w:eastAsia="Arial" w:hAnsi="Arial" w:cs="Arial"/>
                                  <w:color w:val="FFFFFF"/>
                                  <w:sz w:val="20"/>
                                </w:rPr>
                                <w:t>jurisprudencia@tc.df.gov.br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903" style="width:595pt;height:842pt;position:absolute;mso-position-horizontal-relative:page;mso-position-horizontal:absolute;margin-left:0pt;mso-position-vertical-relative:page;margin-top:0pt;" coordsize="75565,106934">
                <v:shape id="Shape 1020" style="position:absolute;width:4064;height:99314;left:0;top:0;" coordsize="406400,9931400" path="m0,0l406400,0l406400,9931400l0,9931400l0,0">
                  <v:stroke weight="0pt" endcap="square" joinstyle="miter" miterlimit="10" on="false" color="#000000" opacity="0"/>
                  <v:fill on="true" color="#01447f"/>
                </v:shape>
                <v:shape id="Shape 1021" style="position:absolute;width:75565;height:7620;left:0;top:99314;" coordsize="7556500,762000" path="m0,0l7556500,0l7556500,762000l0,762000l0,0">
                  <v:stroke weight="0pt" endcap="square" joinstyle="miter" miterlimit="10" on="false" color="#000000" opacity="0"/>
                  <v:fill on="true" color="#01447f"/>
                </v:shape>
                <v:rect id="Rectangle 57" style="position:absolute;width:3756;height:6249;left:67421;top:10123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color w:val="ffffff"/>
                            <w:sz w:val="80"/>
                          </w:rPr>
                          <w:t xml:space="preserve">2</w:t>
                        </w:r>
                      </w:p>
                    </w:txbxContent>
                  </v:textbox>
                </v:rect>
                <v:rect id="Rectangle 58" style="position:absolute;width:20556;height:1562;left:4572;top:52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20"/>
                          </w:rPr>
                          <w:t xml:space="preserve">Decisão por unanimidade</w:t>
                        </w:r>
                      </w:p>
                    </w:txbxContent>
                  </v:textbox>
                </v:rect>
                <v:rect id="Rectangle 59" style="position:absolute;width:26284;height:1562;left:4572;top:280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20"/>
                          </w:rPr>
                          <w:t xml:space="preserve">André Clemente Lara De Oliveira</w:t>
                        </w:r>
                      </w:p>
                    </w:txbxContent>
                  </v:textbox>
                </v:rect>
                <v:rect id="Rectangle 60" style="position:absolute;width:28216;height:1562;left:36830;top:280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20"/>
                          </w:rPr>
                          <w:t xml:space="preserve">ORDINÁRIA nº 5367, de 31/01/2024.</w:t>
                        </w:r>
                      </w:p>
                    </w:txbxContent>
                  </v:textbox>
                </v:rect>
                <v:rect id="Rectangle 61" style="position:absolute;width:19151;height:1562;left:4572;top:953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20"/>
                          </w:rPr>
                          <w:t xml:space="preserve">Legislação relacionada:</w:t>
                        </w:r>
                      </w:p>
                    </w:txbxContent>
                  </v:textbox>
                </v:rect>
                <v:rect id="Rectangle 894" style="position:absolute;width:16391;height:1562;left:4572;top:1207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81">
                          <w:r>
                            <w:rPr>
                              <w:rFonts w:cs="Arial" w:hAnsi="Arial" w:eastAsia="Arial" w:ascii="Arial"/>
                              <w:color w:val="2205fc"/>
                              <w:sz w:val="20"/>
                              <w:u w:val="single" w:color="2205fc"/>
                            </w:rPr>
                            <w:t xml:space="preserve">Decreto nº 44432/202</w:t>
                          </w:r>
                        </w:hyperlink>
                      </w:p>
                    </w:txbxContent>
                  </v:textbox>
                </v:rect>
                <v:rect id="Rectangle 893" style="position:absolute;width:939;height:1562;left:16896;top:1207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81">
                          <w:r>
                            <w:rPr>
                              <w:rFonts w:cs="Arial" w:hAnsi="Arial" w:eastAsia="Arial" w:ascii="Arial"/>
                              <w:color w:val="2205fc"/>
                              <w:sz w:val="20"/>
                              <w:u w:val="single" w:color="2205fc"/>
                            </w:rPr>
                            <w:t xml:space="preserve">3</w:t>
                          </w:r>
                        </w:hyperlink>
                      </w:p>
                    </w:txbxContent>
                  </v:textbox>
                </v:rect>
                <v:rect id="Rectangle 896" style="position:absolute;width:16391;height:1562;left:4572;top:1474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82">
                          <w:r>
                            <w:rPr>
                              <w:rFonts w:cs="Arial" w:hAnsi="Arial" w:eastAsia="Arial" w:ascii="Arial"/>
                              <w:color w:val="2205fc"/>
                              <w:sz w:val="20"/>
                              <w:u w:val="single" w:color="2205fc"/>
                            </w:rPr>
                            <w:t xml:space="preserve">Decreto nº 43899/202</w:t>
                          </w:r>
                        </w:hyperlink>
                      </w:p>
                    </w:txbxContent>
                  </v:textbox>
                </v:rect>
                <v:rect id="Rectangle 895" style="position:absolute;width:939;height:1562;left:16896;top:1474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82">
                          <w:r>
                            <w:rPr>
                              <w:rFonts w:cs="Arial" w:hAnsi="Arial" w:eastAsia="Arial" w:ascii="Arial"/>
                              <w:color w:val="2205fc"/>
                              <w:sz w:val="20"/>
                              <w:u w:val="single" w:color="2205fc"/>
                            </w:rPr>
                            <w:t xml:space="preserve">2</w:t>
                          </w:r>
                        </w:hyperlink>
                      </w:p>
                    </w:txbxContent>
                  </v:textbox>
                </v:rect>
                <v:rect id="Rectangle 898" style="position:absolute;width:30044;height:1562;left:4572;top:1741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83">
                          <w:r>
                            <w:rPr>
                              <w:rFonts w:cs="Arial" w:hAnsi="Arial" w:eastAsia="Arial" w:ascii="Arial"/>
                              <w:color w:val="2205fc"/>
                              <w:sz w:val="20"/>
                              <w:u w:val="single" w:color="2205fc"/>
                            </w:rPr>
                            <w:t xml:space="preserve">Constituição Federal de 1988, Art. 30, V</w:t>
                          </w:r>
                        </w:hyperlink>
                      </w:p>
                    </w:txbxContent>
                  </v:textbox>
                </v:rect>
                <v:rect id="Rectangle 897" style="position:absolute;width:469;height:1562;left:27161;top:1741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83">
                          <w:r>
                            <w:rPr>
                              <w:rFonts w:cs="Arial" w:hAnsi="Arial" w:eastAsia="Arial" w:ascii="Arial"/>
                              <w:color w:val="2205fc"/>
                              <w:sz w:val="20"/>
                              <w:u w:val="single" w:color="2205fc"/>
                            </w:rPr>
                            <w:t xml:space="preserve">.</w:t>
                          </w:r>
                        </w:hyperlink>
                      </w:p>
                    </w:txbxContent>
                  </v:textbox>
                </v:rect>
                <v:rect id="Rectangle 900" style="position:absolute;width:22226;height:1562;left:4572;top:2007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84">
                          <w:r>
                            <w:rPr>
                              <w:rFonts w:cs="Arial" w:hAnsi="Arial" w:eastAsia="Arial" w:ascii="Arial"/>
                              <w:color w:val="2205fc"/>
                              <w:sz w:val="20"/>
                              <w:u w:val="single" w:color="2205fc"/>
                            </w:rPr>
                            <w:t xml:space="preserve">Lei nº 8987/1995, Art. 6º, § 1º</w:t>
                          </w:r>
                        </w:hyperlink>
                      </w:p>
                    </w:txbxContent>
                  </v:textbox>
                </v:rect>
                <v:rect id="Rectangle 899" style="position:absolute;width:469;height:1562;left:21283;top:2007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84">
                          <w:r>
                            <w:rPr>
                              <w:rFonts w:cs="Arial" w:hAnsi="Arial" w:eastAsia="Arial" w:ascii="Arial"/>
                              <w:color w:val="2205fc"/>
                              <w:sz w:val="20"/>
                              <w:u w:val="single" w:color="2205fc"/>
                            </w:rPr>
                            <w:t xml:space="preserve">.</w:t>
                          </w:r>
                        </w:hyperlink>
                      </w:p>
                    </w:txbxContent>
                  </v:textbox>
                </v:rect>
                <v:rect id="Rectangle 902" style="position:absolute;width:23166;height:1562;left:4572;top:2274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85">
                          <w:r>
                            <w:rPr>
                              <w:rFonts w:cs="Arial" w:hAnsi="Arial" w:eastAsia="Arial" w:ascii="Arial"/>
                              <w:color w:val="2205fc"/>
                              <w:sz w:val="20"/>
                              <w:u w:val="single" w:color="2205fc"/>
                            </w:rPr>
                            <w:t xml:space="preserve">Lei nº 12587/2012, Art. 9º, § 5º</w:t>
                          </w:r>
                        </w:hyperlink>
                      </w:p>
                    </w:txbxContent>
                  </v:textbox>
                </v:rect>
                <v:rect id="Rectangle 901" style="position:absolute;width:469;height:1562;left:21990;top:2274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85">
                          <w:r>
                            <w:rPr>
                              <w:rFonts w:cs="Arial" w:hAnsi="Arial" w:eastAsia="Arial" w:ascii="Arial"/>
                              <w:color w:val="2205fc"/>
                              <w:sz w:val="20"/>
                              <w:u w:val="single" w:color="2205fc"/>
                            </w:rPr>
                            <w:t xml:space="preserve">.</w:t>
                          </w:r>
                        </w:hyperlink>
                      </w:p>
                    </w:txbxContent>
                  </v:textbox>
                </v:rect>
                <v:rect id="Rectangle 892" style="position:absolute;width:27993;height:1562;left:36830;top:52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86">
                          <w:r>
                            <w:rPr>
                              <w:rFonts w:cs="Arial" w:hAnsi="Arial" w:eastAsia="Arial" w:ascii="Arial"/>
                              <w:color w:val="2205fc"/>
                              <w:sz w:val="20"/>
                              <w:u w:val="single" w:color="2205fc"/>
                            </w:rPr>
                            <w:t xml:space="preserve">Proc. nº 1702/2023 - Dec. nº 195/202</w:t>
                          </w:r>
                        </w:hyperlink>
                      </w:p>
                    </w:txbxContent>
                  </v:textbox>
                </v:rect>
                <v:rect id="Rectangle 891" style="position:absolute;width:939;height:1562;left:57877;top:52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86">
                          <w:r>
                            <w:rPr>
                              <w:rFonts w:cs="Arial" w:hAnsi="Arial" w:eastAsia="Arial" w:ascii="Arial"/>
                              <w:color w:val="2205fc"/>
                              <w:sz w:val="20"/>
                              <w:u w:val="single" w:color="2205fc"/>
                            </w:rPr>
                            <w:t xml:space="preserve">4</w:t>
                          </w:r>
                        </w:hyperlink>
                      </w:p>
                    </w:txbxContent>
                  </v:textbox>
                </v:rect>
                <v:shape id="Shape 74" style="position:absolute;width:63500;height:0;left:6350;top:25781;" coordsize="6350000,0" path="m0,0l6350000,0">
                  <v:stroke weight="1pt" endcap="flat" joinstyle="miter" miterlimit="10" on="true" color="#000000"/>
                  <v:fill on="false" color="#000000" opacity="0"/>
                </v:shape>
                <v:rect id="Rectangle 75" style="position:absolute;width:61400;height:1562;left:14382;top:10034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color w:val="ffffff"/>
                            <w:sz w:val="20"/>
                          </w:rPr>
                          <w:t xml:space="preserve">Coordenadoria de Biblioteca, Gestão da Informação e do Conhecimento – COBGI</w:t>
                        </w:r>
                      </w:p>
                    </w:txbxContent>
                  </v:textbox>
                </v:rect>
                <v:rect id="Rectangle 76" style="position:absolute;width:55576;height:1562;left:16572;top:10182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color w:val="ffffff"/>
                            <w:sz w:val="20"/>
                          </w:rPr>
                          <w:t xml:space="preserve">Supervisão de Sistemas de Informação, Legislação e Jurisprudência - SSI</w:t>
                        </w:r>
                      </w:p>
                    </w:txbxContent>
                  </v:textbox>
                </v:rect>
                <v:rect id="Rectangle 77" style="position:absolute;width:7977;height:1562;left:17020;top:10329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color w:val="ffffff"/>
                            <w:sz w:val="20"/>
                          </w:rPr>
                          <w:t xml:space="preserve">Telefone: </w:t>
                        </w:r>
                      </w:p>
                    </w:txbxContent>
                  </v:textbox>
                </v:rect>
                <v:rect id="Rectangle 889" style="position:absolute;width:20000;height:1562;left:23018;top:10329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color w:val="ffffff"/>
                            <w:sz w:val="20"/>
                          </w:rPr>
                          <w:t xml:space="preserve">(61) 3314-2226/2593/2259</w:t>
                        </w:r>
                      </w:p>
                    </w:txbxContent>
                  </v:textbox>
                </v:rect>
                <v:rect id="Rectangle 890" style="position:absolute;width:469;height:1562;left:38056;top:10329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color w:val="ffffff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9" style="position:absolute;width:5351;height:1562;left:38409;top:10329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color w:val="ffffff"/>
                            <w:sz w:val="20"/>
                          </w:rPr>
                          <w:t xml:space="preserve">email: </w:t>
                        </w:r>
                      </w:p>
                    </w:txbxContent>
                  </v:textbox>
                </v:rect>
                <v:rect id="Rectangle 80" style="position:absolute;width:20583;height:1562;left:42433;top:10329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color w:val="ffffff"/>
                            <w:sz w:val="20"/>
                          </w:rPr>
                          <w:t xml:space="preserve">jurisprudencia@tc.df.gov.br</w:t>
                        </w:r>
                      </w:p>
                    </w:txbxContent>
                  </v:textbox>
                </v:rect>
                <w10:wrap type="topAndBottom"/>
              </v:group>
            </w:pict>
          </mc:Fallback>
        </mc:AlternateContent>
      </w:r>
    </w:p>
    <w:sectPr w:rsidR="00BB7545">
      <w:pgSz w:w="11900" w:h="16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7545"/>
    <w:rsid w:val="0006227B"/>
    <w:rsid w:val="00BB7545"/>
    <w:rsid w:val="00D64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AF4B23C-7FBD-4177-A05F-8F0287F5F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0.jpg"/><Relationship Id="rId13" Type="http://schemas.openxmlformats.org/officeDocument/2006/relationships/hyperlink" Target="https://www.sinj.df.gov.br/sinj/Norma/4f985cded4624449a8c7f362f2a653cd/exec_dec_43899_2022.html" TargetMode="External"/><Relationship Id="rId18" Type="http://schemas.openxmlformats.org/officeDocument/2006/relationships/hyperlink" Target="https://www.planalto.gov.br/ccivil_03/_ato2011-2014/2012/lei/l12587.htm" TargetMode="External"/><Relationship Id="hyperlink82" Type="http://schemas.openxmlformats.org/officeDocument/2006/relationships/hyperlink" Target="https://www.sinj.df.gov.br/sinj/Norma/4f985cded4624449a8c7f362f2a653cd/exec_dec_43899_2022.html#:~:text=Decreto%2043899%20de%2031%2F10%2F2022%20Disp%C3%B5e%20sobre%20o%20prazo,Transporte%20P%C3%BAblic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etcdf.tc.df.gov.br/?a=consultaETCDF&amp;f=formPrincipal&amp;edoc=D60848A1" TargetMode="External"/><Relationship Id="hyperlink81" Type="http://schemas.openxmlformats.org/officeDocument/2006/relationships/hyperlink" Target="https://www.sinj.df.gov.br/sinj/Norma/5c3079fe7a95418e8dada310ccfc7d58/Decreto_44432_17_04_2023.html" TargetMode="External"/><Relationship Id="hyperlink86" Type="http://schemas.openxmlformats.org/officeDocument/2006/relationships/hyperlink" Target="https://etcdf.tc.df.gov.br/?a=consultaETCDF&amp;f=formPrincipal&amp;edoc=D60848A1" TargetMode="External"/><Relationship Id="rId7" Type="http://schemas.openxmlformats.org/officeDocument/2006/relationships/image" Target="media/image2.png"/><Relationship Id="rId12" Type="http://schemas.openxmlformats.org/officeDocument/2006/relationships/hyperlink" Target="https://www.sinj.df.gov.br/sinj/Norma/4f985cded4624449a8c7f362f2a653cd/exec_dec_43899_2022.html" TargetMode="External"/><Relationship Id="rId17" Type="http://schemas.openxmlformats.org/officeDocument/2006/relationships/hyperlink" Target="https://www.planalto.gov.br/ccivil_03/leis/l8987cons.htm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planalto.gov.br/ccivil_03/leis/l8987cons.htm" TargetMode="External"/><Relationship Id="rId20" Type="http://schemas.openxmlformats.org/officeDocument/2006/relationships/hyperlink" Target="https://etcdf.tc.df.gov.br/?a=consultaETCDF&amp;f=formPrincipal&amp;edoc=D60848A1" TargetMode="External"/><Relationship Id="hyperlink85" Type="http://schemas.openxmlformats.org/officeDocument/2006/relationships/hyperlink" Target="https://www.planalto.gov.br/ccivil_03/_ato2011-2014/2012/lei/l12587.htm" TargetMode="Externa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hyperlink50" Type="http://schemas.openxmlformats.org/officeDocument/2006/relationships/hyperlink" Target="https://jurisprudencia.tc.df.gov.br/solicitacao-de-boletim/" TargetMode="External"/><Relationship Id="rId11" Type="http://schemas.openxmlformats.org/officeDocument/2006/relationships/hyperlink" Target="https://www.sinj.df.gov.br/sinj/Norma/5c3079fe7a95418e8dada310ccfc7d58/Decreto_44432_17_04_2023.html" TargetMode="External"/><Relationship Id="hyperlink84" Type="http://schemas.openxmlformats.org/officeDocument/2006/relationships/hyperlink" Target="https://www.planalto.gov.br/ccivil_03/leis/l8987cons.htm" TargetMode="External"/><Relationship Id="rId5" Type="http://schemas.openxmlformats.org/officeDocument/2006/relationships/hyperlink" Target="https://jurisprudencia.tc.df.gov.br/solicitacao-de-boletim/" TargetMode="External"/><Relationship Id="rId15" Type="http://schemas.openxmlformats.org/officeDocument/2006/relationships/hyperlink" Target="http://www.planalto.gov.br/ccivil_03/constituicao/constituicaocompilado.htm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www.sinj.df.gov.br/sinj/Norma/5c3079fe7a95418e8dada310ccfc7d58/Decreto_44432_17_04_2023.html" TargetMode="External"/><Relationship Id="rId19" Type="http://schemas.openxmlformats.org/officeDocument/2006/relationships/hyperlink" Target="https://www.planalto.gov.br/ccivil_03/_ato2011-2014/2012/lei/l12587.htm" TargetMode="External"/><Relationship Id="hyperlink83" Type="http://schemas.openxmlformats.org/officeDocument/2006/relationships/hyperlink" Target="http://www.planalto.gov.br/ccivil_03/constituicao/constituicaocompilado.htm" TargetMode="External"/><Relationship Id="rId4" Type="http://schemas.openxmlformats.org/officeDocument/2006/relationships/hyperlink" Target="https://jurisprudencia.tc.df.gov.br/solicitacao-de-boletim/" TargetMode="External"/><Relationship Id="rId9" Type="http://schemas.openxmlformats.org/officeDocument/2006/relationships/image" Target="media/image1.png"/><Relationship Id="rId14" Type="http://schemas.openxmlformats.org/officeDocument/2006/relationships/hyperlink" Target="http://www.planalto.gov.br/ccivil_03/constituicao/constituicaocompilado.htm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Kamili Teles De Araújo</dc:creator>
  <cp:keywords/>
  <cp:lastModifiedBy>Kamili Teles De Araújo</cp:lastModifiedBy>
  <cp:revision>2</cp:revision>
  <dcterms:created xsi:type="dcterms:W3CDTF">2026-08-26T17:46:00Z</dcterms:created>
  <dcterms:modified xsi:type="dcterms:W3CDTF">2026-08-26T17:46:00Z</dcterms:modified>
</cp:coreProperties>
</file>