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660" w:rsidRDefault="00000000">
      <w:pPr>
        <w:shd w:val="clear" w:color="auto" w:fill="01447F"/>
        <w:spacing w:after="164" w:line="243" w:lineRule="auto"/>
        <w:ind w:left="180" w:right="3827"/>
      </w:pPr>
      <w:r>
        <w:rPr>
          <w:rFonts w:ascii="Arial" w:eastAsia="Arial" w:hAnsi="Arial" w:cs="Arial"/>
          <w:b/>
          <w:color w:val="FFFFFF"/>
          <w:sz w:val="42"/>
        </w:rPr>
        <w:t>Boletim de Jurisprudência Contas, nº 7</w:t>
      </w:r>
    </w:p>
    <w:p w:rsidR="00221660" w:rsidRDefault="00000000">
      <w:pPr>
        <w:spacing w:after="222"/>
        <w:ind w:left="180"/>
      </w:pPr>
      <w:r>
        <w:rPr>
          <w:rFonts w:ascii="Arial" w:eastAsia="Arial" w:hAnsi="Arial" w:cs="Arial"/>
          <w:b/>
          <w:sz w:val="24"/>
        </w:rPr>
        <w:t>Sessões de janeiro a junho de 2024.</w:t>
      </w:r>
    </w:p>
    <w:p w:rsidR="00221660" w:rsidRDefault="00000000">
      <w:pPr>
        <w:spacing w:after="0" w:line="332" w:lineRule="auto"/>
        <w:ind w:left="115" w:right="7" w:hanging="10"/>
        <w:jc w:val="both"/>
      </w:pPr>
      <w:r>
        <w:rPr>
          <w:rFonts w:ascii="Arial" w:eastAsia="Arial" w:hAnsi="Arial" w:cs="Arial"/>
          <w:sz w:val="24"/>
        </w:rPr>
        <w:t xml:space="preserve">     O Boletim de Jurisprudência do TCDF é uma publicação periódica elaborada pela Supervisão de Sistemas de Informação, Legislação e Jurisprudência, da Coordenadoria de Biblioteca, Gestão da Informação e do Conhecimento, com a finalidade de apresentar resumos das teses constantes em decisões desta Corte que se enquadrem em critérios de relevância, reiteração, ineditismo ou controvérsia.</w:t>
      </w:r>
    </w:p>
    <w:p w:rsidR="00221660" w:rsidRDefault="00000000">
      <w:pPr>
        <w:spacing w:after="0" w:line="332" w:lineRule="auto"/>
        <w:ind w:left="115" w:right="7" w:hanging="10"/>
        <w:jc w:val="both"/>
      </w:pPr>
      <w:r>
        <w:rPr>
          <w:rFonts w:ascii="Arial" w:eastAsia="Arial" w:hAnsi="Arial" w:cs="Arial"/>
          <w:sz w:val="24"/>
        </w:rPr>
        <w:t xml:space="preserve">     Ressalta-se, todavia, que as informações aqui apresentadas não constituem resumo oficial das decisões proferidas pelo Tribunal nem representam, necessariamente, o posicionamento prevalecente na Corte sobre a matéria.</w:t>
      </w:r>
    </w:p>
    <w:p w:rsidR="00221660" w:rsidRDefault="00000000">
      <w:pPr>
        <w:spacing w:after="0" w:line="332" w:lineRule="auto"/>
        <w:ind w:left="115" w:right="7" w:hanging="10"/>
        <w:jc w:val="both"/>
      </w:pPr>
      <w:r>
        <w:rPr>
          <w:rFonts w:ascii="Arial" w:eastAsia="Arial" w:hAnsi="Arial" w:cs="Arial"/>
          <w:sz w:val="24"/>
        </w:rPr>
        <w:t xml:space="preserve">     Este boletim informativo não substitui a publicação oficial das decisões. Para um exame mais aprofundado da decisão, sugere-se o acesso aos documentos do processo por meio dos links presentes em cada decisão.</w:t>
      </w:r>
    </w:p>
    <w:tbl>
      <w:tblPr>
        <w:tblStyle w:val="TableGrid"/>
        <w:tblpPr w:vertAnchor="page" w:horzAnchor="page" w:tblpX="100" w:tblpY="10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21660">
        <w:trPr>
          <w:trHeight w:val="400"/>
        </w:trPr>
        <w:tc>
          <w:tcPr>
            <w:tcW w:w="500" w:type="dxa"/>
            <w:tcBorders>
              <w:top w:val="nil"/>
              <w:left w:val="nil"/>
              <w:bottom w:val="nil"/>
              <w:right w:val="nil"/>
            </w:tcBorders>
            <w:shd w:val="clear" w:color="auto" w:fill="01447F"/>
          </w:tcPr>
          <w:p w:rsidR="00221660" w:rsidRDefault="00000000">
            <w:pPr>
              <w:spacing w:after="0"/>
            </w:pPr>
            <w:r>
              <w:rPr>
                <w:rFonts w:ascii="Arial" w:eastAsia="Arial" w:hAnsi="Arial" w:cs="Arial"/>
                <w:b/>
                <w:color w:val="FFFFFF"/>
                <w:sz w:val="28"/>
              </w:rPr>
              <w:t>1</w:t>
            </w:r>
          </w:p>
        </w:tc>
      </w:tr>
    </w:tbl>
    <w:p w:rsidR="00221660" w:rsidRDefault="00000000">
      <w:pPr>
        <w:spacing w:after="681" w:line="332" w:lineRule="auto"/>
        <w:ind w:left="115" w:right="7"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6500" cy="966723"/>
                <wp:effectExtent l="0" t="0" r="0" b="0"/>
                <wp:wrapTopAndBottom/>
                <wp:docPr id="2180" name="Group 2180"/>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24" name="Picture 24"/>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2908" name="Picture 2908"/>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2180" style="width:595pt;height:76.1199pt;position:absolute;mso-position-horizontal-relative:page;mso-position-horizontal:absolute;margin-left:0pt;mso-position-vertical-relative:page;margin-top:-7.62939e-06pt;" coordsize="75565,9667">
                <v:shape id="Picture 24" style="position:absolute;width:75565;height:9032;left:0;top:0;" filled="f">
                  <v:imagedata r:id="rId9"/>
                </v:shape>
                <v:shape id="Picture 2908" style="position:absolute;width:74828;height:9052;left:609;top:609;" filled="f">
                  <v:imagedata r:id="rId10"/>
                </v:shape>
                <w10:wrap type="topAndBottom"/>
              </v:group>
            </w:pict>
          </mc:Fallback>
        </mc:AlternateContent>
      </w:r>
      <w:r>
        <w:rPr>
          <w:rFonts w:ascii="Arial" w:eastAsia="Arial" w:hAnsi="Arial" w:cs="Arial"/>
          <w:sz w:val="24"/>
        </w:rPr>
        <w:t xml:space="preserve">     Deseja receber os Boletins de Jurisprudência do Tribunal? </w:t>
      </w:r>
      <w:hyperlink r:id="rId11">
        <w:r>
          <w:rPr>
            <w:rFonts w:ascii="Arial" w:eastAsia="Arial" w:hAnsi="Arial" w:cs="Arial"/>
            <w:color w:val="0000FF"/>
            <w:sz w:val="24"/>
            <w:u w:val="single" w:color="0000FF"/>
          </w:rPr>
          <w:t>Clique aqui.</w:t>
        </w:r>
      </w:hyperlink>
    </w:p>
    <w:p w:rsidR="00221660" w:rsidRDefault="00000000">
      <w:pPr>
        <w:spacing w:after="642"/>
        <w:ind w:left="2280"/>
      </w:pPr>
      <w:r>
        <w:rPr>
          <w:noProof/>
        </w:rPr>
        <mc:AlternateContent>
          <mc:Choice Requires="wpg">
            <w:drawing>
              <wp:inline distT="0" distB="0" distL="0" distR="0">
                <wp:extent cx="3683000" cy="12700"/>
                <wp:effectExtent l="0" t="0" r="0" b="0"/>
                <wp:docPr id="2181" name="Group 2181"/>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31" name="Shape 31"/>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81" style="width:290pt;height:1pt;mso-position-horizontal-relative:char;mso-position-vertical-relative:line" coordsize="36830,127">
                <v:shape id="Shape 31" style="position:absolute;width:36830;height:0;left:0;top:0;" coordsize="3683000,0" path="m0,0l3683000,0">
                  <v:stroke weight="1pt" endcap="flat" joinstyle="miter" miterlimit="10" on="true" color="#000000"/>
                  <v:fill on="false" color="#000000" opacity="0"/>
                </v:shape>
              </v:group>
            </w:pict>
          </mc:Fallback>
        </mc:AlternateContent>
      </w:r>
    </w:p>
    <w:p w:rsidR="00221660" w:rsidRDefault="00000000">
      <w:pPr>
        <w:spacing w:after="175" w:line="251" w:lineRule="auto"/>
        <w:ind w:left="15" w:right="7" w:hanging="10"/>
        <w:jc w:val="both"/>
      </w:pPr>
      <w:r>
        <w:rPr>
          <w:rFonts w:ascii="Arial" w:eastAsia="Arial" w:hAnsi="Arial" w:cs="Arial"/>
          <w:b/>
          <w:sz w:val="20"/>
        </w:rPr>
        <w:t>CONTAS. SECRETARIA DE ESTADO DAS CIDADES DO DISTRITO FEDERAL - SECID/DF. TOMADAS E PRESTAÇÕES DE CONTAS ANUAIS E EXTRAORDINÁRIAS. GESTOR. ATOS AUTORIZATIVOS. ASSINATURA. PERÍODO DE GESTÃO. IRREGULARIDADES. RESPONSABILIDADE DIRETA.</w:t>
      </w:r>
    </w:p>
    <w:p w:rsidR="00221660" w:rsidRDefault="00000000">
      <w:pPr>
        <w:spacing w:after="3" w:line="251" w:lineRule="auto"/>
        <w:ind w:left="15" w:right="5" w:hanging="10"/>
        <w:jc w:val="both"/>
      </w:pPr>
      <w:r>
        <w:rPr>
          <w:rFonts w:ascii="Arial" w:eastAsia="Arial" w:hAnsi="Arial" w:cs="Arial"/>
          <w:sz w:val="20"/>
        </w:rPr>
        <w:t>A assinatura de atos autorizativos no período de gestão, que possibilitem a caracterização de ato ilegal ou ilegítimo, atrai a responsabilização para o gestor signatário, independentemente de ser curto o prazo em que o gestor se mantiver na</w:t>
      </w:r>
    </w:p>
    <w:p w:rsidR="00221660" w:rsidRDefault="00221660">
      <w:pPr>
        <w:sectPr w:rsidR="00221660">
          <w:headerReference w:type="even" r:id="rId12"/>
          <w:headerReference w:type="default" r:id="rId13"/>
          <w:footerReference w:type="even" r:id="rId14"/>
          <w:footerReference w:type="default" r:id="rId15"/>
          <w:headerReference w:type="first" r:id="rId16"/>
          <w:footerReference w:type="first" r:id="rId17"/>
          <w:pgSz w:w="11900" w:h="16840"/>
          <w:pgMar w:top="2999" w:right="358" w:bottom="2073" w:left="720" w:header="720" w:footer="720" w:gutter="0"/>
          <w:cols w:space="720"/>
          <w:titlePg/>
        </w:sectPr>
      </w:pPr>
    </w:p>
    <w:p w:rsidR="00221660" w:rsidRDefault="00000000">
      <w:pPr>
        <w:spacing w:after="113" w:line="251" w:lineRule="auto"/>
        <w:ind w:left="15" w:right="5" w:hanging="10"/>
        <w:jc w:val="both"/>
      </w:pPr>
      <w:r>
        <w:rPr>
          <w:rFonts w:ascii="Arial" w:eastAsia="Arial" w:hAnsi="Arial" w:cs="Arial"/>
          <w:sz w:val="20"/>
        </w:rPr>
        <w:t>função.</w:t>
      </w:r>
    </w:p>
    <w:p w:rsidR="00221660" w:rsidRDefault="00000000">
      <w:pPr>
        <w:spacing w:after="58" w:line="251" w:lineRule="auto"/>
        <w:ind w:left="15" w:right="7" w:hanging="10"/>
        <w:jc w:val="both"/>
      </w:pPr>
      <w:r>
        <w:rPr>
          <w:rFonts w:ascii="Arial" w:eastAsia="Arial" w:hAnsi="Arial" w:cs="Arial"/>
          <w:b/>
          <w:sz w:val="20"/>
        </w:rPr>
        <w:t>Relator:</w:t>
      </w:r>
    </w:p>
    <w:p w:rsidR="00221660" w:rsidRDefault="00000000">
      <w:pPr>
        <w:spacing w:after="136" w:line="251" w:lineRule="auto"/>
        <w:ind w:left="15" w:right="7" w:hanging="10"/>
        <w:jc w:val="both"/>
      </w:pPr>
      <w:r>
        <w:rPr>
          <w:rFonts w:ascii="Arial" w:eastAsia="Arial" w:hAnsi="Arial" w:cs="Arial"/>
          <w:b/>
          <w:sz w:val="20"/>
        </w:rPr>
        <w:t>Vinícius Cardoso De Pinho Fragoso</w:t>
      </w:r>
    </w:p>
    <w:p w:rsidR="00221660" w:rsidRDefault="00000000">
      <w:pPr>
        <w:spacing w:after="258" w:line="251" w:lineRule="auto"/>
        <w:ind w:left="15" w:right="7" w:hanging="10"/>
        <w:jc w:val="both"/>
      </w:pPr>
      <w:r>
        <w:rPr>
          <w:rFonts w:ascii="Arial" w:eastAsia="Arial" w:hAnsi="Arial" w:cs="Arial"/>
          <w:b/>
          <w:sz w:val="20"/>
        </w:rPr>
        <w:t>Decisão por unanimidade</w:t>
      </w:r>
    </w:p>
    <w:p w:rsidR="00221660" w:rsidRDefault="00000000">
      <w:pPr>
        <w:spacing w:after="158" w:line="251" w:lineRule="auto"/>
        <w:ind w:left="15" w:right="7" w:hanging="10"/>
        <w:jc w:val="both"/>
      </w:pPr>
      <w:r>
        <w:rPr>
          <w:rFonts w:ascii="Arial" w:eastAsia="Arial" w:hAnsi="Arial" w:cs="Arial"/>
          <w:b/>
          <w:sz w:val="20"/>
        </w:rPr>
        <w:t>Decisões relacionadas:</w:t>
      </w:r>
    </w:p>
    <w:p w:rsidR="00221660" w:rsidRDefault="00000000">
      <w:pPr>
        <w:spacing w:after="167" w:line="265" w:lineRule="auto"/>
        <w:ind w:left="15" w:hanging="10"/>
      </w:pPr>
      <w:hyperlink r:id="rId18">
        <w:r>
          <w:rPr>
            <w:rFonts w:ascii="Arial" w:eastAsia="Arial" w:hAnsi="Arial" w:cs="Arial"/>
            <w:color w:val="2205FC"/>
            <w:sz w:val="20"/>
            <w:u w:val="single" w:color="2205FC"/>
          </w:rPr>
          <w:t>TCDF: Decisão nº 3486/2023</w:t>
        </w:r>
      </w:hyperlink>
    </w:p>
    <w:p w:rsidR="00221660" w:rsidRDefault="00000000">
      <w:pPr>
        <w:spacing w:after="167" w:line="265" w:lineRule="auto"/>
        <w:ind w:left="15" w:hanging="10"/>
      </w:pPr>
      <w:hyperlink r:id="rId19">
        <w:r>
          <w:rPr>
            <w:rFonts w:ascii="Arial" w:eastAsia="Arial" w:hAnsi="Arial" w:cs="Arial"/>
            <w:color w:val="2205FC"/>
            <w:sz w:val="20"/>
            <w:u w:val="single" w:color="2205FC"/>
          </w:rPr>
          <w:t>TCDF: Decisão nº 48/2024</w:t>
        </w:r>
      </w:hyperlink>
    </w:p>
    <w:p w:rsidR="00221660" w:rsidRDefault="00000000">
      <w:pPr>
        <w:spacing w:after="58" w:line="251" w:lineRule="auto"/>
        <w:ind w:left="15" w:right="7" w:hanging="10"/>
        <w:jc w:val="both"/>
      </w:pPr>
      <w:r>
        <w:rPr>
          <w:rFonts w:ascii="Arial" w:eastAsia="Arial" w:hAnsi="Arial" w:cs="Arial"/>
          <w:b/>
          <w:sz w:val="20"/>
        </w:rPr>
        <w:t>Sessão:</w:t>
      </w:r>
    </w:p>
    <w:p w:rsidR="00221660" w:rsidRDefault="00000000">
      <w:pPr>
        <w:spacing w:after="136" w:line="251" w:lineRule="auto"/>
        <w:ind w:left="15" w:right="7" w:hanging="10"/>
        <w:jc w:val="both"/>
      </w:pPr>
      <w:r>
        <w:rPr>
          <w:rFonts w:ascii="Arial" w:eastAsia="Arial" w:hAnsi="Arial" w:cs="Arial"/>
          <w:b/>
          <w:sz w:val="20"/>
        </w:rPr>
        <w:t>ORDINÁRIA nº 5374, de 03/04/2024.</w:t>
      </w:r>
    </w:p>
    <w:tbl>
      <w:tblPr>
        <w:tblStyle w:val="TableGrid"/>
        <w:tblpPr w:vertAnchor="text" w:horzAnchor="margin"/>
        <w:tblOverlap w:val="never"/>
        <w:tblW w:w="9237" w:type="dxa"/>
        <w:tblInd w:w="0" w:type="dxa"/>
        <w:tblCellMar>
          <w:top w:w="0" w:type="dxa"/>
          <w:left w:w="0" w:type="dxa"/>
          <w:bottom w:w="0" w:type="dxa"/>
          <w:right w:w="0" w:type="dxa"/>
        </w:tblCellMar>
        <w:tblLook w:val="04A0" w:firstRow="1" w:lastRow="0" w:firstColumn="1" w:lastColumn="0" w:noHBand="0" w:noVBand="1"/>
      </w:tblPr>
      <w:tblGrid>
        <w:gridCol w:w="9237"/>
      </w:tblGrid>
      <w:tr w:rsidR="00221660">
        <w:trPr>
          <w:trHeight w:val="1298"/>
        </w:trPr>
        <w:tc>
          <w:tcPr>
            <w:tcW w:w="10822" w:type="dxa"/>
            <w:tcBorders>
              <w:top w:val="nil"/>
              <w:left w:val="nil"/>
              <w:bottom w:val="nil"/>
              <w:right w:val="nil"/>
            </w:tcBorders>
          </w:tcPr>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21660">
              <w:trPr>
                <w:trHeight w:val="400"/>
              </w:trPr>
              <w:tc>
                <w:tcPr>
                  <w:tcW w:w="500" w:type="dxa"/>
                  <w:tcBorders>
                    <w:top w:val="nil"/>
                    <w:left w:val="nil"/>
                    <w:bottom w:val="nil"/>
                    <w:right w:val="nil"/>
                  </w:tcBorders>
                  <w:shd w:val="clear" w:color="auto" w:fill="01447F"/>
                </w:tcPr>
                <w:p w:rsidR="00221660" w:rsidRDefault="00000000">
                  <w:pPr>
                    <w:spacing w:after="0"/>
                  </w:pPr>
                  <w:r>
                    <w:rPr>
                      <w:rFonts w:ascii="Arial" w:eastAsia="Arial" w:hAnsi="Arial" w:cs="Arial"/>
                      <w:b/>
                      <w:color w:val="FFFFFF"/>
                      <w:sz w:val="28"/>
                    </w:rPr>
                    <w:lastRenderedPageBreak/>
                    <w:t>2</w:t>
                  </w:r>
                </w:p>
              </w:tc>
            </w:tr>
          </w:tbl>
          <w:p w:rsidR="00221660" w:rsidRDefault="00000000">
            <w:pPr>
              <w:spacing w:after="182" w:line="243" w:lineRule="auto"/>
              <w:ind w:left="620" w:right="-2205"/>
              <w:jc w:val="both"/>
            </w:pPr>
            <w:r>
              <w:rPr>
                <w:rFonts w:ascii="Arial" w:eastAsia="Arial" w:hAnsi="Arial" w:cs="Arial"/>
                <w:b/>
                <w:sz w:val="20"/>
              </w:rPr>
              <w:t>CONTAS. CENTRAIS DE ABASTECIMENTO DO DISTRITO FEDERAL S.A. - CEASA. PRESTAÇÃO DE CONTAS ANUAL. EXERCÍCIO 2021. TESTE DE IMPAIRMENT. AUSÊNCIA. IMPROPRIEDADE. REGULARIDADE. REGULARIDADE COM RESSALVAS.</w:t>
            </w:r>
          </w:p>
          <w:p w:rsidR="00221660" w:rsidRDefault="00000000">
            <w:pPr>
              <w:spacing w:after="0"/>
              <w:ind w:left="620" w:right="-2182"/>
            </w:pPr>
            <w:r>
              <w:rPr>
                <w:rFonts w:ascii="Arial" w:eastAsia="Arial" w:hAnsi="Arial" w:cs="Arial"/>
                <w:sz w:val="20"/>
              </w:rPr>
              <w:t>A não realização do teste de impairment constitui falha formal de natureza contábil capaz de ensejar a aposição de ressalvas às contas dos gestores, por força do art. 183, § 3º, da Lei nº 6.404/1976.</w:t>
            </w:r>
          </w:p>
        </w:tc>
      </w:tr>
    </w:tbl>
    <w:p w:rsidR="00221660" w:rsidRDefault="00000000">
      <w:pPr>
        <w:spacing w:after="47" w:line="265" w:lineRule="auto"/>
        <w:ind w:left="15" w:hanging="10"/>
      </w:pPr>
      <w:hyperlink r:id="rId20">
        <w:r>
          <w:rPr>
            <w:rFonts w:ascii="Arial" w:eastAsia="Arial" w:hAnsi="Arial" w:cs="Arial"/>
            <w:color w:val="2205FC"/>
            <w:sz w:val="20"/>
            <w:u w:val="single" w:color="2205FC"/>
          </w:rPr>
          <w:t xml:space="preserve">Proc. nº 12172/2022 - Dec. nº 1080/2024 </w:t>
        </w:r>
      </w:hyperlink>
      <w:r>
        <w:rPr>
          <w:rFonts w:ascii="Arial" w:eastAsia="Arial" w:hAnsi="Arial" w:cs="Arial"/>
          <w:b/>
          <w:sz w:val="20"/>
        </w:rPr>
        <w:t>Relator:</w:t>
      </w:r>
    </w:p>
    <w:p w:rsidR="00221660" w:rsidRDefault="00000000">
      <w:pPr>
        <w:spacing w:after="136" w:line="251" w:lineRule="auto"/>
        <w:ind w:left="15" w:right="7" w:hanging="10"/>
        <w:jc w:val="both"/>
      </w:pPr>
      <w:r>
        <w:rPr>
          <w:rFonts w:ascii="Arial" w:eastAsia="Arial" w:hAnsi="Arial" w:cs="Arial"/>
          <w:b/>
          <w:sz w:val="20"/>
        </w:rPr>
        <w:t>Vinícius Cardoso De Pinho Fragoso</w:t>
      </w:r>
    </w:p>
    <w:p w:rsidR="00221660" w:rsidRDefault="00000000">
      <w:pPr>
        <w:spacing w:after="136" w:line="251" w:lineRule="auto"/>
        <w:ind w:left="15" w:right="7" w:hanging="10"/>
        <w:jc w:val="both"/>
      </w:pPr>
      <w:r>
        <w:rPr>
          <w:rFonts w:ascii="Arial" w:eastAsia="Arial" w:hAnsi="Arial" w:cs="Arial"/>
          <w:b/>
          <w:sz w:val="20"/>
        </w:rPr>
        <w:t>Decisão por unanimidade</w:t>
      </w:r>
    </w:p>
    <w:p w:rsidR="00221660" w:rsidRDefault="00000000">
      <w:pPr>
        <w:spacing w:after="58" w:line="251" w:lineRule="auto"/>
        <w:ind w:left="15" w:right="7" w:hanging="10"/>
        <w:jc w:val="both"/>
      </w:pPr>
      <w:r>
        <w:rPr>
          <w:rFonts w:ascii="Arial" w:eastAsia="Arial" w:hAnsi="Arial" w:cs="Arial"/>
          <w:b/>
          <w:sz w:val="20"/>
        </w:rPr>
        <w:t>Sessão:</w:t>
      </w:r>
    </w:p>
    <w:p w:rsidR="00221660" w:rsidRDefault="00000000">
      <w:pPr>
        <w:spacing w:after="136" w:line="251" w:lineRule="auto"/>
        <w:ind w:left="15" w:right="7" w:hanging="10"/>
        <w:jc w:val="both"/>
      </w:pPr>
      <w:r>
        <w:rPr>
          <w:rFonts w:ascii="Arial" w:eastAsia="Arial" w:hAnsi="Arial" w:cs="Arial"/>
          <w:b/>
          <w:sz w:val="20"/>
        </w:rPr>
        <w:t>ORDINÁRIA nº 5375, de 10/04/2024.</w:t>
      </w:r>
    </w:p>
    <w:p w:rsidR="00221660" w:rsidRDefault="00000000">
      <w:pPr>
        <w:spacing w:after="0" w:line="265" w:lineRule="auto"/>
        <w:ind w:left="15" w:hanging="10"/>
      </w:pPr>
      <w:hyperlink r:id="rId21">
        <w:r>
          <w:rPr>
            <w:rFonts w:ascii="Arial" w:eastAsia="Arial" w:hAnsi="Arial" w:cs="Arial"/>
            <w:color w:val="2205FC"/>
            <w:sz w:val="20"/>
            <w:u w:val="single" w:color="2205FC"/>
          </w:rPr>
          <w:t>Proc. nº 9000/2023 - Dec. nº 1193/2024</w:t>
        </w:r>
      </w:hyperlink>
    </w:p>
    <w:p w:rsidR="00221660" w:rsidRDefault="00221660">
      <w:pPr>
        <w:sectPr w:rsidR="00221660">
          <w:type w:val="continuous"/>
          <w:pgSz w:w="11900" w:h="16840"/>
          <w:pgMar w:top="400" w:right="2452" w:bottom="2073" w:left="700" w:header="720" w:footer="720" w:gutter="0"/>
          <w:cols w:num="2" w:space="720" w:equalWidth="0">
            <w:col w:w="3421" w:space="1679"/>
            <w:col w:w="3648"/>
          </w:cols>
        </w:sectPr>
      </w:pPr>
    </w:p>
    <w:p w:rsidR="00221660" w:rsidRDefault="00000000">
      <w:pPr>
        <w:spacing w:after="158" w:line="251" w:lineRule="auto"/>
        <w:ind w:left="15" w:right="7" w:hanging="10"/>
        <w:jc w:val="both"/>
      </w:pPr>
      <w:r>
        <w:rPr>
          <w:rFonts w:ascii="Arial" w:eastAsia="Arial" w:hAnsi="Arial" w:cs="Arial"/>
          <w:b/>
          <w:sz w:val="20"/>
        </w:rPr>
        <w:t>Legislação relacionada:</w:t>
      </w:r>
    </w:p>
    <w:p w:rsidR="00221660" w:rsidRDefault="00000000">
      <w:pPr>
        <w:spacing w:after="167" w:line="265" w:lineRule="auto"/>
        <w:ind w:left="15" w:hanging="10"/>
      </w:pPr>
      <w:hyperlink r:id="rId22">
        <w:r>
          <w:rPr>
            <w:rFonts w:ascii="Arial" w:eastAsia="Arial" w:hAnsi="Arial" w:cs="Arial"/>
            <w:color w:val="2205FC"/>
            <w:sz w:val="20"/>
            <w:u w:val="single" w:color="2205FC"/>
          </w:rPr>
          <w:t>Lei nº 6404/1976, Art. 183, § 3º.</w:t>
        </w:r>
      </w:hyperlink>
    </w:p>
    <w:p w:rsidR="00221660" w:rsidRDefault="00000000">
      <w:pPr>
        <w:spacing w:after="0" w:line="251" w:lineRule="auto"/>
        <w:ind w:left="15" w:right="7" w:hanging="10"/>
        <w:jc w:val="both"/>
      </w:pPr>
      <w:r>
        <w:rPr>
          <w:rFonts w:ascii="Arial" w:eastAsia="Arial" w:hAnsi="Arial" w:cs="Arial"/>
          <w:b/>
          <w:sz w:val="20"/>
        </w:rPr>
        <w:t>CONTAS. PROCESSUAL. FUNDAÇÃO DE APOIO À PESQUISA  FAP/DF. FUNDAÇÃO UNIVERSIDADE DE BRASÍLIA  FUB. TOMADA DE CONTAS ESPECIAL. CITAÇÃO. ALEGAÇÕES DE DEFESA. AUSÊNCIA.</w:t>
      </w:r>
    </w:p>
    <w:p w:rsidR="00221660" w:rsidRDefault="00000000">
      <w:pPr>
        <w:spacing w:after="422" w:line="251" w:lineRule="auto"/>
        <w:ind w:left="15" w:right="7" w:hanging="10"/>
        <w:jc w:val="both"/>
      </w:pPr>
      <w:r>
        <w:rPr>
          <w:rFonts w:ascii="Arial" w:eastAsia="Arial" w:hAnsi="Arial" w:cs="Arial"/>
          <w:b/>
          <w:sz w:val="20"/>
        </w:rPr>
        <w:t>IRREGULARIDADE DAS CONTAS. IMPUTAÇÃO DE DÉBITO. COBRANÇA JUDICIAL. ALEGAÇÃO DE PRESCRIÇÃO. INOCORRÊNCIA. VÍCIO DE CITAÇÃO. NULIDADE. REPETIÇÃO DOS ATOS PROCESSUAIS.</w:t>
      </w:r>
    </w:p>
    <w:p w:rsidR="00221660" w:rsidRDefault="00000000">
      <w:pPr>
        <w:numPr>
          <w:ilvl w:val="0"/>
          <w:numId w:val="1"/>
        </w:numPr>
        <w:spacing w:after="3" w:line="251" w:lineRule="auto"/>
        <w:ind w:right="5" w:hanging="222"/>
        <w:jc w:val="both"/>
      </w:pPr>
      <w:r>
        <w:rPr>
          <w:rFonts w:ascii="Arial" w:eastAsia="Arial" w:hAnsi="Arial" w:cs="Arial"/>
          <w:sz w:val="20"/>
        </w:rPr>
        <w:t>A ambiguidade do texto do instrumento de mandato e a ausência de outorga clara e inequívoca do poder para recebercitação invalida a citação efetuada exclusivamente na pessoa do advogado constituído da parte.</w:t>
      </w:r>
    </w:p>
    <w:tbl>
      <w:tblPr>
        <w:tblStyle w:val="TableGrid"/>
        <w:tblpPr w:vertAnchor="page" w:horzAnchor="page" w:tblpX="100" w:tblpY="40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21660">
        <w:trPr>
          <w:trHeight w:val="400"/>
        </w:trPr>
        <w:tc>
          <w:tcPr>
            <w:tcW w:w="500" w:type="dxa"/>
            <w:tcBorders>
              <w:top w:val="nil"/>
              <w:left w:val="nil"/>
              <w:bottom w:val="nil"/>
              <w:right w:val="nil"/>
            </w:tcBorders>
            <w:shd w:val="clear" w:color="auto" w:fill="01447F"/>
          </w:tcPr>
          <w:p w:rsidR="00221660" w:rsidRDefault="00000000">
            <w:pPr>
              <w:spacing w:after="0"/>
            </w:pPr>
            <w:r>
              <w:rPr>
                <w:rFonts w:ascii="Arial" w:eastAsia="Arial" w:hAnsi="Arial" w:cs="Arial"/>
                <w:b/>
                <w:color w:val="FFFFFF"/>
                <w:sz w:val="28"/>
              </w:rPr>
              <w:t>3</w:t>
            </w:r>
          </w:p>
        </w:tc>
      </w:tr>
    </w:tbl>
    <w:tbl>
      <w:tblPr>
        <w:tblStyle w:val="TableGrid"/>
        <w:tblpPr w:vertAnchor="page" w:horzAnchor="page" w:tblpX="100" w:tblpY="97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21660">
        <w:trPr>
          <w:trHeight w:val="400"/>
        </w:trPr>
        <w:tc>
          <w:tcPr>
            <w:tcW w:w="500" w:type="dxa"/>
            <w:tcBorders>
              <w:top w:val="nil"/>
              <w:left w:val="nil"/>
              <w:bottom w:val="nil"/>
              <w:right w:val="nil"/>
            </w:tcBorders>
            <w:shd w:val="clear" w:color="auto" w:fill="01447F"/>
          </w:tcPr>
          <w:p w:rsidR="00221660" w:rsidRDefault="00000000">
            <w:pPr>
              <w:spacing w:after="0"/>
            </w:pPr>
            <w:r>
              <w:rPr>
                <w:rFonts w:ascii="Arial" w:eastAsia="Arial" w:hAnsi="Arial" w:cs="Arial"/>
                <w:b/>
                <w:color w:val="FFFFFF"/>
                <w:sz w:val="28"/>
              </w:rPr>
              <w:t>4</w:t>
            </w:r>
          </w:p>
        </w:tc>
      </w:tr>
    </w:tbl>
    <w:p w:rsidR="00221660" w:rsidRDefault="00000000">
      <w:pPr>
        <w:numPr>
          <w:ilvl w:val="0"/>
          <w:numId w:val="1"/>
        </w:numPr>
        <w:spacing w:after="408" w:line="251" w:lineRule="auto"/>
        <w:ind w:right="5" w:hanging="222"/>
        <w:jc w:val="both"/>
      </w:pPr>
      <w:r>
        <w:rPr>
          <w:rFonts w:ascii="Arial" w:eastAsia="Arial" w:hAnsi="Arial" w:cs="Arial"/>
          <w:sz w:val="20"/>
        </w:rPr>
        <w:t>A nulidade de Decisão e Acórdão do TCDF decretada pelo TJDFT enseja a repetição dos atos processuais praticados.</w:t>
      </w:r>
    </w:p>
    <w:tbl>
      <w:tblPr>
        <w:tblStyle w:val="TableGrid"/>
        <w:tblW w:w="8728" w:type="dxa"/>
        <w:tblInd w:w="0" w:type="dxa"/>
        <w:tblCellMar>
          <w:top w:w="0" w:type="dxa"/>
          <w:left w:w="0" w:type="dxa"/>
          <w:bottom w:w="0" w:type="dxa"/>
          <w:right w:w="0" w:type="dxa"/>
        </w:tblCellMar>
        <w:tblLook w:val="04A0" w:firstRow="1" w:lastRow="0" w:firstColumn="1" w:lastColumn="0" w:noHBand="0" w:noVBand="1"/>
      </w:tblPr>
      <w:tblGrid>
        <w:gridCol w:w="5080"/>
        <w:gridCol w:w="3648"/>
      </w:tblGrid>
      <w:tr w:rsidR="00221660">
        <w:trPr>
          <w:trHeight w:val="865"/>
        </w:trPr>
        <w:tc>
          <w:tcPr>
            <w:tcW w:w="5080" w:type="dxa"/>
            <w:tcBorders>
              <w:top w:val="nil"/>
              <w:left w:val="nil"/>
              <w:bottom w:val="nil"/>
              <w:right w:val="nil"/>
            </w:tcBorders>
          </w:tcPr>
          <w:p w:rsidR="00221660" w:rsidRDefault="00000000">
            <w:pPr>
              <w:spacing w:after="52"/>
            </w:pPr>
            <w:r>
              <w:rPr>
                <w:rFonts w:ascii="Arial" w:eastAsia="Arial" w:hAnsi="Arial" w:cs="Arial"/>
                <w:b/>
                <w:sz w:val="20"/>
              </w:rPr>
              <w:t>Relator:</w:t>
            </w:r>
          </w:p>
          <w:p w:rsidR="00221660" w:rsidRDefault="00000000">
            <w:pPr>
              <w:spacing w:after="132"/>
            </w:pPr>
            <w:r>
              <w:rPr>
                <w:rFonts w:ascii="Arial" w:eastAsia="Arial" w:hAnsi="Arial" w:cs="Arial"/>
                <w:b/>
                <w:sz w:val="20"/>
              </w:rPr>
              <w:t>Paulo Tadeu Vale Da Silva</w:t>
            </w:r>
          </w:p>
          <w:p w:rsidR="00221660" w:rsidRDefault="00000000">
            <w:pPr>
              <w:spacing w:after="0"/>
            </w:pPr>
            <w:r>
              <w:rPr>
                <w:rFonts w:ascii="Arial" w:eastAsia="Arial" w:hAnsi="Arial" w:cs="Arial"/>
                <w:b/>
                <w:sz w:val="20"/>
              </w:rPr>
              <w:t>Decisão por unanimidade</w:t>
            </w:r>
          </w:p>
        </w:tc>
        <w:tc>
          <w:tcPr>
            <w:tcW w:w="3648" w:type="dxa"/>
            <w:tcBorders>
              <w:top w:val="nil"/>
              <w:left w:val="nil"/>
              <w:bottom w:val="nil"/>
              <w:right w:val="nil"/>
            </w:tcBorders>
          </w:tcPr>
          <w:p w:rsidR="00221660" w:rsidRDefault="00000000">
            <w:pPr>
              <w:spacing w:after="52"/>
            </w:pPr>
            <w:r>
              <w:rPr>
                <w:rFonts w:ascii="Arial" w:eastAsia="Arial" w:hAnsi="Arial" w:cs="Arial"/>
                <w:b/>
                <w:sz w:val="20"/>
              </w:rPr>
              <w:t>Sessão:</w:t>
            </w:r>
          </w:p>
          <w:p w:rsidR="00221660" w:rsidRDefault="00000000">
            <w:pPr>
              <w:spacing w:after="132"/>
            </w:pPr>
            <w:r>
              <w:rPr>
                <w:rFonts w:ascii="Arial" w:eastAsia="Arial" w:hAnsi="Arial" w:cs="Arial"/>
                <w:b/>
                <w:sz w:val="20"/>
              </w:rPr>
              <w:t>ORDINÁRIA nº 5378, de 08/05/2024.</w:t>
            </w:r>
          </w:p>
          <w:p w:rsidR="00221660" w:rsidRDefault="00000000">
            <w:pPr>
              <w:spacing w:after="0"/>
              <w:jc w:val="both"/>
            </w:pPr>
            <w:hyperlink r:id="rId23">
              <w:r>
                <w:rPr>
                  <w:rFonts w:ascii="Arial" w:eastAsia="Arial" w:hAnsi="Arial" w:cs="Arial"/>
                  <w:color w:val="2205FC"/>
                  <w:sz w:val="20"/>
                  <w:u w:val="single" w:color="2205FC"/>
                </w:rPr>
                <w:t>Proc. nº 19040/2018 - Dec. nº 1487/2024</w:t>
              </w:r>
            </w:hyperlink>
          </w:p>
        </w:tc>
      </w:tr>
    </w:tbl>
    <w:p w:rsidR="00221660" w:rsidRDefault="00000000">
      <w:pPr>
        <w:spacing w:after="136" w:line="251" w:lineRule="auto"/>
        <w:ind w:left="15" w:right="7" w:hanging="10"/>
        <w:jc w:val="both"/>
      </w:pPr>
      <w:r>
        <w:rPr>
          <w:rFonts w:ascii="Arial" w:eastAsia="Arial" w:hAnsi="Arial" w:cs="Arial"/>
          <w:b/>
          <w:sz w:val="20"/>
        </w:rPr>
        <w:t>Legislação relacionada:</w:t>
      </w:r>
    </w:p>
    <w:p w:rsidR="00221660" w:rsidRDefault="00000000">
      <w:pPr>
        <w:spacing w:after="167" w:line="265" w:lineRule="auto"/>
        <w:ind w:left="15" w:hanging="10"/>
      </w:pPr>
      <w:hyperlink r:id="rId24">
        <w:r>
          <w:rPr>
            <w:rFonts w:ascii="Arial" w:eastAsia="Arial" w:hAnsi="Arial" w:cs="Arial"/>
            <w:color w:val="2205FC"/>
            <w:sz w:val="20"/>
            <w:u w:val="single" w:color="2205FC"/>
          </w:rPr>
          <w:t>Lei nº 13105/2015, Art. 105.</w:t>
        </w:r>
      </w:hyperlink>
    </w:p>
    <w:p w:rsidR="00221660" w:rsidRDefault="00000000">
      <w:pPr>
        <w:spacing w:after="167" w:line="265" w:lineRule="auto"/>
        <w:ind w:left="15" w:hanging="10"/>
      </w:pPr>
      <w:hyperlink r:id="rId25">
        <w:r>
          <w:rPr>
            <w:rFonts w:ascii="Arial" w:eastAsia="Arial" w:hAnsi="Arial" w:cs="Arial"/>
            <w:color w:val="2205FC"/>
            <w:sz w:val="20"/>
            <w:u w:val="single" w:color="2205FC"/>
          </w:rPr>
          <w:t>Lei Complementar nº 1/1994, Art. 13, II.</w:t>
        </w:r>
      </w:hyperlink>
    </w:p>
    <w:p w:rsidR="00221660" w:rsidRDefault="00000000">
      <w:pPr>
        <w:spacing w:after="167" w:line="265" w:lineRule="auto"/>
        <w:ind w:left="15" w:hanging="10"/>
      </w:pPr>
      <w:hyperlink r:id="rId26">
        <w:r>
          <w:rPr>
            <w:rFonts w:ascii="Arial" w:eastAsia="Arial" w:hAnsi="Arial" w:cs="Arial"/>
            <w:color w:val="2205FC"/>
            <w:sz w:val="20"/>
            <w:u w:val="single" w:color="2205FC"/>
          </w:rPr>
          <w:t>Resolução nº 296/2016, Art. 165.</w:t>
        </w:r>
      </w:hyperlink>
    </w:p>
    <w:p w:rsidR="00221660" w:rsidRDefault="00000000">
      <w:pPr>
        <w:spacing w:after="0" w:line="251" w:lineRule="auto"/>
        <w:ind w:left="15" w:right="7" w:hanging="10"/>
        <w:jc w:val="both"/>
      </w:pPr>
      <w:r>
        <w:rPr>
          <w:rFonts w:ascii="Arial" w:eastAsia="Arial" w:hAnsi="Arial" w:cs="Arial"/>
          <w:b/>
          <w:sz w:val="20"/>
        </w:rPr>
        <w:t>PROCESSUAL. CONTAS. SECRETARIA DE ESTADO DA AGRICULTURA, ABASTECIMENTO E DESENVOLVIMENTO RURAL DO DISTRITO FEDERAL. CONSULTA. INADMISSIBILIDADE. REQUISITOS DE</w:t>
      </w:r>
    </w:p>
    <w:p w:rsidR="00221660" w:rsidRDefault="00000000">
      <w:pPr>
        <w:spacing w:after="409" w:line="251" w:lineRule="auto"/>
        <w:ind w:left="15" w:right="7" w:hanging="10"/>
        <w:jc w:val="both"/>
      </w:pPr>
      <w:r>
        <w:rPr>
          <w:rFonts w:ascii="Arial" w:eastAsia="Arial" w:hAnsi="Arial" w:cs="Arial"/>
          <w:b/>
          <w:sz w:val="20"/>
        </w:rPr>
        <w:t>ADMISSIBILIDADE. AUSÊNCIA. CONTROLE EXTERNO. ESCLARECIMENTOS. FUNÇÃO PEDAGÓGICA. SERVIÇO SOCIAL AUTÔNOMO. PARQUE GRANJA DO TORTO. PATRIMÔNIO PÚBLICO. EXPLORAÇÃO. PRESTAÇÃO DE CONTAS. NECESSIDADE. INSTRUÇÃO NORMATIVA TCDF N° 1/2022.</w:t>
      </w:r>
    </w:p>
    <w:p w:rsidR="00221660" w:rsidRDefault="00000000">
      <w:pPr>
        <w:spacing w:after="392" w:line="251" w:lineRule="auto"/>
        <w:ind w:left="15" w:right="5" w:hanging="10"/>
        <w:jc w:val="both"/>
      </w:pPr>
      <w:r>
        <w:rPr>
          <w:rFonts w:ascii="Arial" w:eastAsia="Arial" w:hAnsi="Arial" w:cs="Arial"/>
          <w:sz w:val="20"/>
        </w:rPr>
        <w:t>Consulta proveniente da Seretaria de Estado da Agricultura, Abastecimento e Desenvolvimento Rural do Distrito Federal acerca da obrigação do Serviço Social Autônomo Parque Granja do Torto - PGT prestar contas relativamente a valores arrecadados com a exploração do patrimônio público. O Tribunal decidiu não conhecer da consulta por não preencher os requisitos de admissibilidade previstos no arts. 264, caput e parágrafo 1º e 265 do RI/TCDF, uma vez não versar sobre direito em tese, pois o questionamento submetido ao Tribunal referia-se a caso concreto; e, além disso, esclarecer à jurisdicionada que o dever de prestar contas por parte do Parque Granja do Torto - PGT abrange a totalidade dos recursos públicos repassados ou decorrentes da exploração do patrimônio público por essa entidade, desde o início de seu funcionamento, devendo-se observar, no tocante à apresentação das contas, o disposto na Instrução Normativa (IN) TCDF nº 01/2022, bem como considerar a totalidade dos recursos para realizar os cálculos previstos nos artigos 11 e 12 da referida IN, adotando providências imediatas para envio da prestação de contas da entidade em questão ao órgão central do sistema de controle interno, dentro do prazo estabelecido na referida norma, via Sistema de Contas Eletrônicas (e-Contas), nos moldes dos arts. 11 e 12 da referida IN.</w:t>
      </w:r>
    </w:p>
    <w:tbl>
      <w:tblPr>
        <w:tblStyle w:val="TableGrid"/>
        <w:tblW w:w="8421" w:type="dxa"/>
        <w:tblInd w:w="0" w:type="dxa"/>
        <w:tblCellMar>
          <w:top w:w="0" w:type="dxa"/>
          <w:left w:w="0" w:type="dxa"/>
          <w:bottom w:w="0" w:type="dxa"/>
          <w:right w:w="0" w:type="dxa"/>
        </w:tblCellMar>
        <w:tblLook w:val="04A0" w:firstRow="1" w:lastRow="0" w:firstColumn="1" w:lastColumn="0" w:noHBand="0" w:noVBand="1"/>
      </w:tblPr>
      <w:tblGrid>
        <w:gridCol w:w="5080"/>
        <w:gridCol w:w="3341"/>
      </w:tblGrid>
      <w:tr w:rsidR="00221660">
        <w:trPr>
          <w:trHeight w:val="485"/>
        </w:trPr>
        <w:tc>
          <w:tcPr>
            <w:tcW w:w="5080" w:type="dxa"/>
            <w:tcBorders>
              <w:top w:val="nil"/>
              <w:left w:val="nil"/>
              <w:bottom w:val="nil"/>
              <w:right w:val="nil"/>
            </w:tcBorders>
          </w:tcPr>
          <w:p w:rsidR="00221660" w:rsidRDefault="00000000">
            <w:pPr>
              <w:spacing w:after="52"/>
            </w:pPr>
            <w:r>
              <w:rPr>
                <w:rFonts w:ascii="Arial" w:eastAsia="Arial" w:hAnsi="Arial" w:cs="Arial"/>
                <w:b/>
                <w:sz w:val="20"/>
              </w:rPr>
              <w:lastRenderedPageBreak/>
              <w:t>Relator:</w:t>
            </w:r>
          </w:p>
          <w:p w:rsidR="00221660" w:rsidRDefault="00000000">
            <w:pPr>
              <w:spacing w:after="0"/>
            </w:pPr>
            <w:r>
              <w:rPr>
                <w:rFonts w:ascii="Arial" w:eastAsia="Arial" w:hAnsi="Arial" w:cs="Arial"/>
                <w:b/>
                <w:sz w:val="20"/>
              </w:rPr>
              <w:t>Paulo Tadeu Vale Da Silva</w:t>
            </w:r>
          </w:p>
        </w:tc>
        <w:tc>
          <w:tcPr>
            <w:tcW w:w="3341" w:type="dxa"/>
            <w:tcBorders>
              <w:top w:val="nil"/>
              <w:left w:val="nil"/>
              <w:bottom w:val="nil"/>
              <w:right w:val="nil"/>
            </w:tcBorders>
          </w:tcPr>
          <w:p w:rsidR="00221660" w:rsidRDefault="00000000">
            <w:pPr>
              <w:spacing w:after="52"/>
            </w:pPr>
            <w:r>
              <w:rPr>
                <w:rFonts w:ascii="Arial" w:eastAsia="Arial" w:hAnsi="Arial" w:cs="Arial"/>
                <w:b/>
                <w:sz w:val="20"/>
              </w:rPr>
              <w:t>Sessão:</w:t>
            </w:r>
          </w:p>
          <w:p w:rsidR="00221660" w:rsidRDefault="00000000">
            <w:pPr>
              <w:spacing w:after="0"/>
              <w:jc w:val="both"/>
            </w:pPr>
            <w:r>
              <w:rPr>
                <w:rFonts w:ascii="Arial" w:eastAsia="Arial" w:hAnsi="Arial" w:cs="Arial"/>
                <w:b/>
                <w:sz w:val="20"/>
              </w:rPr>
              <w:t>ORDINÁRIA nº 5382, de 12/06/2024.</w:t>
            </w:r>
          </w:p>
        </w:tc>
      </w:tr>
    </w:tbl>
    <w:p w:rsidR="00221660" w:rsidRDefault="00000000">
      <w:pPr>
        <w:tabs>
          <w:tab w:val="center" w:pos="6849"/>
        </w:tabs>
        <w:spacing w:after="434" w:line="265" w:lineRule="auto"/>
      </w:pPr>
      <w:r>
        <w:rPr>
          <w:rFonts w:ascii="Arial" w:eastAsia="Arial" w:hAnsi="Arial" w:cs="Arial"/>
          <w:b/>
          <w:sz w:val="20"/>
        </w:rPr>
        <w:t>Decisão por unanimidade</w:t>
      </w:r>
      <w:r>
        <w:rPr>
          <w:rFonts w:ascii="Arial" w:eastAsia="Arial" w:hAnsi="Arial" w:cs="Arial"/>
          <w:b/>
          <w:sz w:val="20"/>
        </w:rPr>
        <w:tab/>
      </w:r>
      <w:hyperlink r:id="rId27">
        <w:r>
          <w:rPr>
            <w:rFonts w:ascii="Arial" w:eastAsia="Arial" w:hAnsi="Arial" w:cs="Arial"/>
            <w:color w:val="2205FC"/>
            <w:sz w:val="20"/>
            <w:u w:val="single" w:color="2205FC"/>
          </w:rPr>
          <w:t>Proc. nº 2850/2024 - Dec. nº 2065/2024</w:t>
        </w:r>
      </w:hyperlink>
    </w:p>
    <w:p w:rsidR="00221660" w:rsidRDefault="00000000">
      <w:pPr>
        <w:spacing w:after="158" w:line="251" w:lineRule="auto"/>
        <w:ind w:left="15" w:right="7" w:hanging="10"/>
        <w:jc w:val="both"/>
      </w:pPr>
      <w:r>
        <w:rPr>
          <w:rFonts w:ascii="Arial" w:eastAsia="Arial" w:hAnsi="Arial" w:cs="Arial"/>
          <w:b/>
          <w:sz w:val="20"/>
        </w:rPr>
        <w:t>Legislação relacionada:</w:t>
      </w:r>
    </w:p>
    <w:p w:rsidR="00221660" w:rsidRDefault="00000000">
      <w:pPr>
        <w:spacing w:after="167" w:line="265" w:lineRule="auto"/>
        <w:ind w:left="15" w:hanging="10"/>
      </w:pPr>
      <w:hyperlink r:id="rId28">
        <w:r>
          <w:rPr>
            <w:rFonts w:ascii="Arial" w:eastAsia="Arial" w:hAnsi="Arial" w:cs="Arial"/>
            <w:color w:val="2205FC"/>
            <w:sz w:val="20"/>
            <w:u w:val="single" w:color="2205FC"/>
          </w:rPr>
          <w:t>Resolução nº 296/2016, Art. 264, § 1º.</w:t>
        </w:r>
      </w:hyperlink>
    </w:p>
    <w:p w:rsidR="00221660" w:rsidRDefault="00000000">
      <w:pPr>
        <w:spacing w:after="167" w:line="265" w:lineRule="auto"/>
        <w:ind w:left="15" w:hanging="10"/>
      </w:pPr>
      <w:hyperlink r:id="rId29">
        <w:r>
          <w:rPr>
            <w:rFonts w:ascii="Arial" w:eastAsia="Arial" w:hAnsi="Arial" w:cs="Arial"/>
            <w:color w:val="2205FC"/>
            <w:sz w:val="20"/>
            <w:u w:val="single" w:color="2205FC"/>
          </w:rPr>
          <w:t>Resolução nº 296/2016, Art. 265.</w:t>
        </w:r>
      </w:hyperlink>
    </w:p>
    <w:p w:rsidR="00221660" w:rsidRDefault="00000000">
      <w:pPr>
        <w:spacing w:after="167" w:line="265" w:lineRule="auto"/>
        <w:ind w:left="15" w:hanging="10"/>
      </w:pPr>
      <w:hyperlink r:id="rId30">
        <w:r>
          <w:rPr>
            <w:rFonts w:ascii="Arial" w:eastAsia="Arial" w:hAnsi="Arial" w:cs="Arial"/>
            <w:color w:val="2205FC"/>
            <w:sz w:val="20"/>
            <w:u w:val="single" w:color="2205FC"/>
          </w:rPr>
          <w:t>Lei Complementar nº 1/1994, Art. 8º.</w:t>
        </w:r>
      </w:hyperlink>
    </w:p>
    <w:p w:rsidR="00221660" w:rsidRDefault="00000000">
      <w:pPr>
        <w:spacing w:after="167" w:line="265" w:lineRule="auto"/>
        <w:ind w:left="15" w:hanging="10"/>
      </w:pPr>
      <w:hyperlink r:id="rId31">
        <w:r>
          <w:rPr>
            <w:rFonts w:ascii="Arial" w:eastAsia="Arial" w:hAnsi="Arial" w:cs="Arial"/>
            <w:color w:val="2205FC"/>
            <w:sz w:val="20"/>
            <w:u w:val="single" w:color="2205FC"/>
          </w:rPr>
          <w:t>Instrução Normativa nº 1/2022, Art. 11, § 1º, III.</w:t>
        </w:r>
      </w:hyperlink>
    </w:p>
    <w:p w:rsidR="00221660" w:rsidRDefault="00000000">
      <w:pPr>
        <w:spacing w:after="40" w:line="265" w:lineRule="auto"/>
        <w:ind w:left="15" w:hanging="10"/>
      </w:pPr>
      <w:hyperlink r:id="rId32">
        <w:r>
          <w:rPr>
            <w:rFonts w:ascii="Arial" w:eastAsia="Arial" w:hAnsi="Arial" w:cs="Arial"/>
            <w:color w:val="2205FC"/>
            <w:sz w:val="20"/>
            <w:u w:val="single" w:color="2205FC"/>
          </w:rPr>
          <w:t>Instrução Normativa nº 1/2022, Art. 12.</w:t>
        </w:r>
      </w:hyperlink>
    </w:p>
    <w:p w:rsidR="00221660" w:rsidRDefault="00000000">
      <w:pPr>
        <w:spacing w:after="470"/>
        <w:ind w:left="280"/>
      </w:pPr>
      <w:r>
        <w:rPr>
          <w:noProof/>
        </w:rPr>
        <mc:AlternateContent>
          <mc:Choice Requires="wpg">
            <w:drawing>
              <wp:inline distT="0" distB="0" distL="0" distR="0">
                <wp:extent cx="6350000" cy="12700"/>
                <wp:effectExtent l="0" t="0" r="0" b="0"/>
                <wp:docPr id="2100" name="Group 2100"/>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192" name="Shape 192"/>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00" style="width:500pt;height:1pt;mso-position-horizontal-relative:char;mso-position-vertical-relative:line" coordsize="63500,127">
                <v:shape id="Shape 192" style="position:absolute;width:63500;height:0;left:0;top:0;" coordsize="6350000,0" path="m0,0l6350000,0">
                  <v:stroke weight="1pt" endcap="flat" joinstyle="miter" miterlimit="10" on="true" color="#000000"/>
                  <v:fill on="false" color="#000000" opacity="0"/>
                </v:shape>
              </v:group>
            </w:pict>
          </mc:Fallback>
        </mc:AlternateContent>
      </w:r>
    </w:p>
    <w:p w:rsidR="00221660" w:rsidRDefault="00000000">
      <w:pPr>
        <w:pStyle w:val="Ttulo1"/>
        <w:spacing w:after="305"/>
        <w:ind w:left="0" w:right="2541"/>
      </w:pPr>
      <w:r>
        <w:t>OUTRAS DECISÕES REFERENTES À CONTAS</w:t>
      </w:r>
    </w:p>
    <w:p w:rsidR="00221660" w:rsidRDefault="00000000">
      <w:pPr>
        <w:spacing w:after="167" w:line="265" w:lineRule="auto"/>
        <w:ind w:left="15" w:hanging="10"/>
      </w:pPr>
      <w:hyperlink r:id="rId33">
        <w:r>
          <w:rPr>
            <w:rFonts w:ascii="Arial" w:eastAsia="Arial" w:hAnsi="Arial" w:cs="Arial"/>
            <w:color w:val="2205FC"/>
            <w:sz w:val="20"/>
            <w:u w:val="single" w:color="2205FC"/>
          </w:rPr>
          <w:t>Decisão nº 1086/2024</w:t>
        </w:r>
      </w:hyperlink>
    </w:p>
    <w:p w:rsidR="00221660" w:rsidRDefault="00000000">
      <w:pPr>
        <w:spacing w:after="167" w:line="265" w:lineRule="auto"/>
        <w:ind w:left="15" w:hanging="10"/>
      </w:pPr>
      <w:hyperlink r:id="rId34">
        <w:r>
          <w:rPr>
            <w:rFonts w:ascii="Arial" w:eastAsia="Arial" w:hAnsi="Arial" w:cs="Arial"/>
            <w:color w:val="2205FC"/>
            <w:sz w:val="20"/>
            <w:u w:val="single" w:color="2205FC"/>
          </w:rPr>
          <w:t>Decisão nº 1164/2024</w:t>
        </w:r>
      </w:hyperlink>
    </w:p>
    <w:p w:rsidR="00221660" w:rsidRDefault="00000000">
      <w:pPr>
        <w:spacing w:after="167" w:line="265" w:lineRule="auto"/>
        <w:ind w:left="15" w:hanging="10"/>
      </w:pPr>
      <w:hyperlink r:id="rId35">
        <w:r>
          <w:rPr>
            <w:rFonts w:ascii="Arial" w:eastAsia="Arial" w:hAnsi="Arial" w:cs="Arial"/>
            <w:color w:val="2205FC"/>
            <w:sz w:val="20"/>
            <w:u w:val="single" w:color="2205FC"/>
          </w:rPr>
          <w:t>Decisão nº 1182/2024</w:t>
        </w:r>
      </w:hyperlink>
    </w:p>
    <w:p w:rsidR="00221660" w:rsidRDefault="00000000">
      <w:pPr>
        <w:spacing w:after="167" w:line="265" w:lineRule="auto"/>
        <w:ind w:left="15" w:hanging="10"/>
      </w:pPr>
      <w:hyperlink r:id="rId36">
        <w:r>
          <w:rPr>
            <w:rFonts w:ascii="Arial" w:eastAsia="Arial" w:hAnsi="Arial" w:cs="Arial"/>
            <w:color w:val="2205FC"/>
            <w:sz w:val="20"/>
            <w:u w:val="single" w:color="2205FC"/>
          </w:rPr>
          <w:t>Decisão nº 1613/2024</w:t>
        </w:r>
      </w:hyperlink>
    </w:p>
    <w:p w:rsidR="00221660" w:rsidRDefault="00000000">
      <w:pPr>
        <w:spacing w:after="167" w:line="265" w:lineRule="auto"/>
        <w:ind w:left="15" w:hanging="10"/>
      </w:pPr>
      <w:hyperlink r:id="rId37">
        <w:r>
          <w:rPr>
            <w:rFonts w:ascii="Arial" w:eastAsia="Arial" w:hAnsi="Arial" w:cs="Arial"/>
            <w:color w:val="2205FC"/>
            <w:sz w:val="20"/>
            <w:u w:val="single" w:color="2205FC"/>
          </w:rPr>
          <w:t>Decisão nº 1618/2024</w:t>
        </w:r>
      </w:hyperlink>
    </w:p>
    <w:p w:rsidR="00221660" w:rsidRDefault="00000000">
      <w:pPr>
        <w:spacing w:after="167" w:line="265" w:lineRule="auto"/>
        <w:ind w:left="15" w:hanging="10"/>
      </w:pPr>
      <w:hyperlink r:id="rId38">
        <w:r>
          <w:rPr>
            <w:rFonts w:ascii="Arial" w:eastAsia="Arial" w:hAnsi="Arial" w:cs="Arial"/>
            <w:color w:val="2205FC"/>
            <w:sz w:val="20"/>
            <w:u w:val="single" w:color="2205FC"/>
          </w:rPr>
          <w:t>Decisão nº 1724/2024</w:t>
        </w:r>
      </w:hyperlink>
    </w:p>
    <w:p w:rsidR="00221660" w:rsidRDefault="00000000">
      <w:pPr>
        <w:spacing w:after="167" w:line="265" w:lineRule="auto"/>
        <w:ind w:left="15" w:hanging="10"/>
      </w:pPr>
      <w:hyperlink r:id="rId39">
        <w:r>
          <w:rPr>
            <w:rFonts w:ascii="Arial" w:eastAsia="Arial" w:hAnsi="Arial" w:cs="Arial"/>
            <w:color w:val="2205FC"/>
            <w:sz w:val="20"/>
            <w:u w:val="single" w:color="2205FC"/>
          </w:rPr>
          <w:t>Decisão nº 1838/2024</w:t>
        </w:r>
      </w:hyperlink>
    </w:p>
    <w:p w:rsidR="00221660" w:rsidRDefault="00000000">
      <w:pPr>
        <w:spacing w:after="167" w:line="265" w:lineRule="auto"/>
        <w:ind w:left="15" w:hanging="10"/>
      </w:pPr>
      <w:hyperlink r:id="rId40">
        <w:r>
          <w:rPr>
            <w:rFonts w:ascii="Arial" w:eastAsia="Arial" w:hAnsi="Arial" w:cs="Arial"/>
            <w:color w:val="2205FC"/>
            <w:sz w:val="20"/>
            <w:u w:val="single" w:color="2205FC"/>
          </w:rPr>
          <w:t>Decisão nº 2150/2024</w:t>
        </w:r>
      </w:hyperlink>
    </w:p>
    <w:p w:rsidR="00221660" w:rsidRDefault="00000000">
      <w:pPr>
        <w:spacing w:after="7407" w:line="265" w:lineRule="auto"/>
        <w:ind w:left="15" w:hanging="10"/>
      </w:pPr>
      <w:hyperlink r:id="rId41">
        <w:r>
          <w:rPr>
            <w:rFonts w:ascii="Arial" w:eastAsia="Arial" w:hAnsi="Arial" w:cs="Arial"/>
            <w:color w:val="2205FC"/>
            <w:sz w:val="20"/>
            <w:u w:val="single" w:color="2205FC"/>
          </w:rPr>
          <w:t>Decisão nº 2153/2024</w:t>
        </w:r>
      </w:hyperlink>
    </w:p>
    <w:p w:rsidR="00221660" w:rsidRDefault="00000000">
      <w:pPr>
        <w:spacing w:after="0"/>
        <w:ind w:left="10" w:right="1991" w:hanging="10"/>
        <w:jc w:val="right"/>
      </w:pPr>
      <w:r>
        <w:rPr>
          <w:rFonts w:ascii="Arial" w:eastAsia="Arial" w:hAnsi="Arial" w:cs="Arial"/>
          <w:color w:val="FFFFFF"/>
          <w:sz w:val="20"/>
        </w:rPr>
        <w:t>Coordenadoria de Biblioteca, Gestão da Informação e do Conhecimento – COBGI</w:t>
      </w:r>
    </w:p>
    <w:p w:rsidR="00221660" w:rsidRDefault="00000000">
      <w:pPr>
        <w:spacing w:after="0"/>
        <w:ind w:left="10" w:right="2351" w:hanging="10"/>
        <w:jc w:val="right"/>
      </w:pPr>
      <w:r>
        <w:rPr>
          <w:rFonts w:ascii="Arial" w:eastAsia="Arial" w:hAnsi="Arial" w:cs="Arial"/>
          <w:color w:val="FFFFFF"/>
          <w:sz w:val="20"/>
        </w:rPr>
        <w:t>Supervisão de Sistemas de Informação, Legislação e Jurisprudência - SSI</w:t>
      </w:r>
    </w:p>
    <w:p w:rsidR="00221660" w:rsidRDefault="00000000">
      <w:pPr>
        <w:spacing w:after="0"/>
        <w:ind w:left="1960"/>
      </w:pPr>
      <w:r>
        <w:rPr>
          <w:rFonts w:ascii="Arial" w:eastAsia="Arial" w:hAnsi="Arial" w:cs="Arial"/>
          <w:b/>
          <w:color w:val="FFFFFF"/>
          <w:sz w:val="20"/>
        </w:rPr>
        <w:t xml:space="preserve">Telefone: </w:t>
      </w:r>
      <w:r>
        <w:rPr>
          <w:rFonts w:ascii="Arial" w:eastAsia="Arial" w:hAnsi="Arial" w:cs="Arial"/>
          <w:color w:val="FFFFFF"/>
          <w:sz w:val="20"/>
        </w:rPr>
        <w:t xml:space="preserve">(61) 3314-2226/2593/2259 </w:t>
      </w:r>
      <w:r>
        <w:rPr>
          <w:rFonts w:ascii="Arial" w:eastAsia="Arial" w:hAnsi="Arial" w:cs="Arial"/>
          <w:b/>
          <w:color w:val="FFFFFF"/>
          <w:sz w:val="20"/>
        </w:rPr>
        <w:t xml:space="preserve">email: </w:t>
      </w:r>
      <w:r>
        <w:rPr>
          <w:rFonts w:ascii="Arial" w:eastAsia="Arial" w:hAnsi="Arial" w:cs="Arial"/>
          <w:color w:val="FFFFFF"/>
          <w:sz w:val="20"/>
        </w:rPr>
        <w:t>jurisprudencia@tc.df.gov.br</w:t>
      </w:r>
    </w:p>
    <w:sectPr w:rsidR="00221660">
      <w:type w:val="continuous"/>
      <w:pgSz w:w="11900" w:h="16840"/>
      <w:pgMar w:top="442" w:right="358" w:bottom="38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3B8" w:rsidRDefault="00E273B8">
      <w:pPr>
        <w:spacing w:after="0" w:line="240" w:lineRule="auto"/>
      </w:pPr>
      <w:r>
        <w:separator/>
      </w:r>
    </w:p>
  </w:endnote>
  <w:endnote w:type="continuationSeparator" w:id="0">
    <w:p w:rsidR="00E273B8" w:rsidRDefault="00E27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221660">
      <w:trPr>
        <w:trHeight w:val="1200"/>
      </w:trPr>
      <w:tc>
        <w:tcPr>
          <w:tcW w:w="11900" w:type="dxa"/>
          <w:tcBorders>
            <w:top w:val="nil"/>
            <w:left w:val="nil"/>
            <w:bottom w:val="nil"/>
            <w:right w:val="nil"/>
          </w:tcBorders>
          <w:shd w:val="clear" w:color="auto" w:fill="01447F"/>
          <w:vAlign w:val="bottom"/>
        </w:tcPr>
        <w:p w:rsidR="00221660"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rsidR="00221660" w:rsidRDefault="00221660">
    <w:pPr>
      <w:spacing w:after="0"/>
      <w:ind w:left="-720" w:right="115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60" w:rsidRDefault="00000000">
    <w:pPr>
      <w:spacing w:after="0"/>
      <w:ind w:right="480"/>
      <w:jc w:val="right"/>
    </w:pPr>
    <w:r>
      <w:fldChar w:fldCharType="begin"/>
    </w:r>
    <w:r>
      <w:instrText xml:space="preserve"> PAGE   \* MERGEFORMAT </w:instrText>
    </w:r>
    <w:r>
      <w:fldChar w:fldCharType="separate"/>
    </w:r>
    <w:r>
      <w:rPr>
        <w:rFonts w:ascii="Arial" w:eastAsia="Arial" w:hAnsi="Arial" w:cs="Arial"/>
        <w:b/>
        <w:color w:val="FFFFFF"/>
        <w:sz w:val="80"/>
      </w:rPr>
      <w:t>3</w:t>
    </w:r>
    <w:r>
      <w:rPr>
        <w:rFonts w:ascii="Arial" w:eastAsia="Arial" w:hAnsi="Arial" w:cs="Arial"/>
        <w:b/>
        <w:color w:val="FFFFFF"/>
        <w:sz w:val="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221660">
      <w:trPr>
        <w:trHeight w:val="1200"/>
      </w:trPr>
      <w:tc>
        <w:tcPr>
          <w:tcW w:w="11900" w:type="dxa"/>
          <w:tcBorders>
            <w:top w:val="nil"/>
            <w:left w:val="nil"/>
            <w:bottom w:val="nil"/>
            <w:right w:val="nil"/>
          </w:tcBorders>
          <w:shd w:val="clear" w:color="auto" w:fill="01447F"/>
          <w:vAlign w:val="bottom"/>
        </w:tcPr>
        <w:p w:rsidR="00221660"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rsidR="00221660" w:rsidRDefault="00221660">
    <w:pPr>
      <w:spacing w:after="0"/>
      <w:ind w:left="-720" w:right="115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3B8" w:rsidRDefault="00E273B8">
      <w:pPr>
        <w:spacing w:after="0" w:line="240" w:lineRule="auto"/>
      </w:pPr>
      <w:r>
        <w:separator/>
      </w:r>
    </w:p>
  </w:footnote>
  <w:footnote w:type="continuationSeparator" w:id="0">
    <w:p w:rsidR="00E273B8" w:rsidRDefault="00E27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60" w:rsidRDefault="00000000">
    <w:r>
      <w:rPr>
        <w:noProof/>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406400" cy="9931400"/>
              <wp:effectExtent l="0" t="0" r="0" b="0"/>
              <wp:wrapNone/>
              <wp:docPr id="2940" name="Group 2940"/>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3168" name="Shape 3168"/>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2940" style="width:32pt;height:782pt;position:absolute;z-index:-2147483648;mso-position-horizontal-relative:page;mso-position-horizontal:absolute;margin-left:0pt;mso-position-vertical-relative:page;margin-top:0pt;" coordsize="4064,99314">
              <v:shape id="Shape 3169"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60" w:rsidRDefault="00000000">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56500" cy="10693400"/>
              <wp:effectExtent l="0" t="0" r="0" b="0"/>
              <wp:wrapNone/>
              <wp:docPr id="2930" name="Group 2930"/>
              <wp:cNvGraphicFramePr/>
              <a:graphic xmlns:a="http://schemas.openxmlformats.org/drawingml/2006/main">
                <a:graphicData uri="http://schemas.microsoft.com/office/word/2010/wordprocessingGroup">
                  <wpg:wgp>
                    <wpg:cNvGrpSpPr/>
                    <wpg:grpSpPr>
                      <a:xfrm>
                        <a:off x="0" y="0"/>
                        <a:ext cx="7556500" cy="10693400"/>
                        <a:chOff x="0" y="0"/>
                        <a:chExt cx="7556500" cy="10693400"/>
                      </a:xfrm>
                    </wpg:grpSpPr>
                    <wps:wsp>
                      <wps:cNvPr id="3164" name="Shape 3164"/>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3165" name="Shape 3165"/>
                      <wps:cNvSpPr/>
                      <wps:spPr>
                        <a:xfrm>
                          <a:off x="0" y="9931400"/>
                          <a:ext cx="7556500" cy="762000"/>
                        </a:xfrm>
                        <a:custGeom>
                          <a:avLst/>
                          <a:gdLst/>
                          <a:ahLst/>
                          <a:cxnLst/>
                          <a:rect l="0" t="0" r="0" b="0"/>
                          <a:pathLst>
                            <a:path w="7556500" h="762000">
                              <a:moveTo>
                                <a:pt x="0" y="0"/>
                              </a:moveTo>
                              <a:lnTo>
                                <a:pt x="7556500" y="0"/>
                              </a:lnTo>
                              <a:lnTo>
                                <a:pt x="7556500" y="762000"/>
                              </a:lnTo>
                              <a:lnTo>
                                <a:pt x="0" y="762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2930" style="width:595pt;height:842pt;position:absolute;z-index:-2147483648;mso-position-horizontal-relative:page;mso-position-horizontal:absolute;margin-left:0pt;mso-position-vertical-relative:page;margin-top:0pt;" coordsize="75565,106934">
              <v:shape id="Shape 3166" style="position:absolute;width:4064;height:99314;left:0;top:0;" coordsize="406400,9931400" path="m0,0l406400,0l406400,9931400l0,9931400l0,0">
                <v:stroke weight="0pt" endcap="square" joinstyle="miter" miterlimit="10" on="false" color="#000000" opacity="0"/>
                <v:fill on="true" color="#01447f"/>
              </v:shape>
              <v:shape id="Shape 3167" style="position:absolute;width:75565;height:7620;left:0;top:99314;" coordsize="7556500,762000" path="m0,0l7556500,0l7556500,762000l0,7620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60" w:rsidRDefault="00000000">
    <w:r>
      <w:rPr>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406400" cy="9931400"/>
              <wp:effectExtent l="0" t="0" r="0" b="0"/>
              <wp:wrapNone/>
              <wp:docPr id="2915" name="Group 2915"/>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3162" name="Shape 3162"/>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2915" style="width:32pt;height:782pt;position:absolute;z-index:-2147483648;mso-position-horizontal-relative:page;mso-position-horizontal:absolute;margin-left:0pt;mso-position-vertical-relative:page;margin-top:0pt;" coordsize="4064,99314">
              <v:shape id="Shape 3163"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5277BE"/>
    <w:multiLevelType w:val="hybridMultilevel"/>
    <w:tmpl w:val="44803AEC"/>
    <w:lvl w:ilvl="0" w:tplc="CD56EC9E">
      <w:start w:val="1"/>
      <w:numFmt w:val="decimal"/>
      <w:lvlText w:val="%1."/>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201B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76DD9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CAFD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0886D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DC0B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3A9E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DC97A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947B2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3275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60"/>
    <w:rsid w:val="0006227B"/>
    <w:rsid w:val="00221660"/>
    <w:rsid w:val="00A82BB4"/>
    <w:rsid w:val="00E273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4B23C-7FBD-4177-A05F-8F0287F5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har"/>
    <w:uiPriority w:val="9"/>
    <w:qFormat/>
    <w:pPr>
      <w:keepNext/>
      <w:keepLines/>
      <w:spacing w:after="222" w:line="259" w:lineRule="auto"/>
      <w:ind w:left="180"/>
      <w:jc w:val="right"/>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s://etcdf.tc.df.gov.br/?a=consultaETCDF&amp;f=formPrincipal&amp;edoc=10BB0827" TargetMode="External"/><Relationship Id="rId26" Type="http://schemas.openxmlformats.org/officeDocument/2006/relationships/hyperlink" Target="http://www.sinj.df.gov.br/sinj/DetalhesDeNorma.aspx?id_norma=103f06688360405fbd9c5562e47f95a7" TargetMode="External"/><Relationship Id="rId39" Type="http://schemas.openxmlformats.org/officeDocument/2006/relationships/hyperlink" Target="https://etcdf.tc.df.gov.br/?a=consultaETCDF&amp;f=formPrincipal&amp;edoc=D312DBEC" TargetMode="External"/><Relationship Id="rId3" Type="http://schemas.openxmlformats.org/officeDocument/2006/relationships/settings" Target="settings.xml"/><Relationship Id="rId21" Type="http://schemas.openxmlformats.org/officeDocument/2006/relationships/hyperlink" Target="https://etcdf.tc.df.gov.br/?a=consultaETCDF&amp;f=formPrincipal&amp;edoc=0747CF9E" TargetMode="External"/><Relationship Id="rId34" Type="http://schemas.openxmlformats.org/officeDocument/2006/relationships/hyperlink" Target="https://etcdf.tc.df.gov.br/?a=consultaETCDF&amp;f=formPrincipal&amp;edoc=95FC5E09" TargetMode="External"/><Relationship Id="rId42"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sinj.df.gov.br/sinj/DetalhesDeNorma.aspx?id_norma=51831" TargetMode="External"/><Relationship Id="rId33" Type="http://schemas.openxmlformats.org/officeDocument/2006/relationships/hyperlink" Target="https://etcdf.tc.df.gov.br/?a=consultaETCDF&amp;f=formPrincipal&amp;edoc=57D9D48A" TargetMode="External"/><Relationship Id="rId38" Type="http://schemas.openxmlformats.org/officeDocument/2006/relationships/hyperlink" Target="https://etcdf.tc.df.gov.br/?a=consultaETCDF&amp;f=formPrincipal&amp;edoc=0574CD5A"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etcdf.tc.df.gov.br/?a=consultaETCDF&amp;f=formPrincipal&amp;edoc=432B8475" TargetMode="External"/><Relationship Id="rId29" Type="http://schemas.openxmlformats.org/officeDocument/2006/relationships/hyperlink" Target="http://www.sinj.df.gov.br/sinj/DetalhesDeNorma.aspx?id_norma=103f06688360405fbd9c5562e47f95a7" TargetMode="External"/><Relationship Id="rId41" Type="http://schemas.openxmlformats.org/officeDocument/2006/relationships/hyperlink" Target="https://etcdf.tc.df.gov.br/?a=consultaETCDF&amp;f=formPrincipal&amp;edoc=48D7FB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isprudencia.tc.df.gov.br/solicitacao-de-boletim/" TargetMode="External"/><Relationship Id="rId24" Type="http://schemas.openxmlformats.org/officeDocument/2006/relationships/hyperlink" Target="http://www.planalto.gov.br/ccivil_03/_ato2015-2018/2015/lei/l13105.htm" TargetMode="External"/><Relationship Id="rId32" Type="http://schemas.openxmlformats.org/officeDocument/2006/relationships/hyperlink" Target="https://www.sinj.df.gov.br/sinj/Norma/40fe1fd345f345f88adf5f0636195d78/tcdf_in_1_2022.html" TargetMode="External"/><Relationship Id="rId37" Type="http://schemas.openxmlformats.org/officeDocument/2006/relationships/hyperlink" Target="https://etcdf.tc.df.gov.br/?a=consultaETCDF&amp;f=formPrincipal&amp;edoc=004C3DAB" TargetMode="External"/><Relationship Id="rId40" Type="http://schemas.openxmlformats.org/officeDocument/2006/relationships/hyperlink" Target="https://etcdf.tc.df.gov.br/?a=consultaETCDF&amp;f=formPrincipal&amp;edoc=1A8A5628"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etcdf.tc.df.gov.br/?a=consultaETCDF&amp;f=formPrincipal&amp;edoc=E6E06311" TargetMode="External"/><Relationship Id="rId28" Type="http://schemas.openxmlformats.org/officeDocument/2006/relationships/hyperlink" Target="http://www.sinj.df.gov.br/sinj/DetalhesDeNorma.aspx?id_norma=103f06688360405fbd9c5562e47f95a7" TargetMode="External"/><Relationship Id="rId36" Type="http://schemas.openxmlformats.org/officeDocument/2006/relationships/hyperlink" Target="https://etcdf.tc.df.gov.br/?a=consultaETCDF&amp;f=formPrincipal&amp;edoc=8347F9F6" TargetMode="External"/><Relationship Id="rId10" Type="http://schemas.openxmlformats.org/officeDocument/2006/relationships/image" Target="media/image1.png"/><Relationship Id="rId19" Type="http://schemas.openxmlformats.org/officeDocument/2006/relationships/hyperlink" Target="https://etcdf.tc.df.gov.br/?a=consultaETCDF&amp;f=formPrincipal&amp;edoc=55BCBBD3" TargetMode="External"/><Relationship Id="rId31" Type="http://schemas.openxmlformats.org/officeDocument/2006/relationships/hyperlink" Target="https://www.sinj.df.gov.br/sinj/Norma/40fe1fd345f345f88adf5f0636195d78/tcdf_in_1_2022.html" TargetMode="Externa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footer" Target="footer1.xml"/><Relationship Id="rId22" Type="http://schemas.openxmlformats.org/officeDocument/2006/relationships/hyperlink" Target="http://www.planalto.gov.br/ccivil_03/leis/l6404consol.htm" TargetMode="External"/><Relationship Id="rId27" Type="http://schemas.openxmlformats.org/officeDocument/2006/relationships/hyperlink" Target="https://etcdf.tc.df.gov.br/?a=consultaETCDF&amp;f=formPrincipal&amp;edoc=7E7F619F" TargetMode="External"/><Relationship Id="rId30" Type="http://schemas.openxmlformats.org/officeDocument/2006/relationships/hyperlink" Target="http://www.sinj.df.gov.br/sinj/DetalhesDeNorma.aspx?id_norma=51831" TargetMode="External"/><Relationship Id="rId35" Type="http://schemas.openxmlformats.org/officeDocument/2006/relationships/hyperlink" Target="https://etcdf.tc.df.gov.br/?a=consultaETCDF&amp;f=formPrincipal&amp;edoc=384670E1" TargetMode="External"/><Relationship Id="rId43"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6848</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2026-08-26T18:08:00Z</dcterms:created>
  <dcterms:modified xsi:type="dcterms:W3CDTF">2026-08-26T18:08:00Z</dcterms:modified>
</cp:coreProperties>
</file>