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C083F" w14:textId="77777777" w:rsidR="002509D5" w:rsidRDefault="00000000">
      <w:pPr>
        <w:shd w:val="clear" w:color="auto" w:fill="01447F"/>
        <w:spacing w:after="164" w:line="243" w:lineRule="auto"/>
        <w:ind w:left="180" w:right="3314"/>
      </w:pPr>
      <w:r>
        <w:rPr>
          <w:rFonts w:ascii="Arial" w:eastAsia="Arial" w:hAnsi="Arial" w:cs="Arial"/>
          <w:b/>
          <w:color w:val="FFFFFF"/>
          <w:sz w:val="42"/>
        </w:rPr>
        <w:t>Boletim de Jurisprudência Licitações e Contratos, nº 11</w:t>
      </w:r>
    </w:p>
    <w:p w14:paraId="37952BAF" w14:textId="77777777" w:rsidR="002509D5" w:rsidRDefault="00000000">
      <w:pPr>
        <w:spacing w:after="222"/>
        <w:ind w:left="175" w:hanging="10"/>
      </w:pPr>
      <w:r>
        <w:rPr>
          <w:rFonts w:ascii="Arial" w:eastAsia="Arial" w:hAnsi="Arial" w:cs="Arial"/>
          <w:b/>
          <w:sz w:val="24"/>
        </w:rPr>
        <w:t>Sessões de janeiro a junho de 2024.</w:t>
      </w:r>
    </w:p>
    <w:p w14:paraId="70B9A765" w14:textId="77777777" w:rsidR="002509D5" w:rsidRDefault="00000000">
      <w:pPr>
        <w:spacing w:after="0" w:line="332" w:lineRule="auto"/>
        <w:ind w:left="115" w:right="8" w:hanging="10"/>
        <w:jc w:val="both"/>
      </w:pPr>
      <w:r>
        <w:rPr>
          <w:rFonts w:ascii="Arial" w:eastAsia="Arial" w:hAnsi="Arial" w:cs="Arial"/>
          <w:sz w:val="24"/>
        </w:rPr>
        <w:t xml:space="preserve">     O Boletim de Jurisprudência do TCDF é uma publicação periódica elaborada pela Supervisão de Sistemas de Informação, Legislação e Jurisprudência, da Coordenadoria de Biblioteca, Gestão da Informação e do Conhecimento, com a finalidade de apresentar resumos das teses constantes em decisões desta Corte que se enquadrem em critérios de relevância, reiteração, ineditismo ou controvérsia.</w:t>
      </w:r>
    </w:p>
    <w:p w14:paraId="1D57D131" w14:textId="77777777" w:rsidR="002509D5" w:rsidRDefault="00000000">
      <w:pPr>
        <w:spacing w:after="0" w:line="332" w:lineRule="auto"/>
        <w:ind w:left="115" w:right="8" w:hanging="10"/>
        <w:jc w:val="both"/>
      </w:pPr>
      <w:r>
        <w:rPr>
          <w:rFonts w:ascii="Arial" w:eastAsia="Arial" w:hAnsi="Arial" w:cs="Arial"/>
          <w:sz w:val="24"/>
        </w:rPr>
        <w:t xml:space="preserve">     Ressalta-se, todavia, que as informações aqui apresentadas não constituem resumo oficial das decisões proferidas pelo Tribunal nem representam, necessariamente, o posicionamento prevalecente na Corte sobre a matéria.</w:t>
      </w:r>
    </w:p>
    <w:p w14:paraId="4D01163F" w14:textId="77777777" w:rsidR="002509D5" w:rsidRDefault="00000000">
      <w:pPr>
        <w:spacing w:after="0" w:line="332" w:lineRule="auto"/>
        <w:ind w:left="115" w:right="8" w:hanging="10"/>
        <w:jc w:val="both"/>
      </w:pPr>
      <w:r>
        <w:rPr>
          <w:rFonts w:ascii="Arial" w:eastAsia="Arial" w:hAnsi="Arial" w:cs="Arial"/>
          <w:sz w:val="24"/>
        </w:rPr>
        <w:t xml:space="preserve">     Este boletim informativo não substitui a publicação oficial das decisões. Para um exame mais aprofundado da decisão, sugere-se o acesso aos documentos do processo por meio dos links presentes em cada decisão.</w:t>
      </w:r>
    </w:p>
    <w:tbl>
      <w:tblPr>
        <w:tblStyle w:val="TableGrid"/>
        <w:tblpPr w:vertAnchor="page" w:horzAnchor="page" w:tblpX="100" w:tblpY="10860"/>
        <w:tblOverlap w:val="never"/>
        <w:tblW w:w="500" w:type="dxa"/>
        <w:tblInd w:w="0" w:type="dxa"/>
        <w:tblCellMar>
          <w:top w:w="59" w:type="dxa"/>
          <w:left w:w="1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0"/>
      </w:tblGrid>
      <w:tr w:rsidR="002509D5" w14:paraId="70E25BE2" w14:textId="77777777">
        <w:trPr>
          <w:trHeight w:val="4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01447F"/>
          </w:tcPr>
          <w:p w14:paraId="3DBF59BC" w14:textId="77777777" w:rsidR="002509D5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1</w:t>
            </w:r>
          </w:p>
        </w:tc>
      </w:tr>
    </w:tbl>
    <w:p w14:paraId="36EBDE18" w14:textId="77777777" w:rsidR="002509D5" w:rsidRDefault="00000000">
      <w:pPr>
        <w:spacing w:after="681" w:line="332" w:lineRule="auto"/>
        <w:ind w:left="115" w:right="8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521258" wp14:editId="369684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66723"/>
                <wp:effectExtent l="0" t="0" r="0" b="0"/>
                <wp:wrapTopAndBottom/>
                <wp:docPr id="1799" name="Group 1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966723"/>
                          <a:chOff x="0" y="0"/>
                          <a:chExt cx="7556500" cy="966723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903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1" name="Picture 23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60960"/>
                            <a:ext cx="7482840" cy="905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99" style="width:595pt;height:76.1199pt;position:absolute;mso-position-horizontal-relative:page;mso-position-horizontal:absolute;margin-left:0pt;mso-position-vertical-relative:page;margin-top:-7.62939e-06pt;" coordsize="75565,9667">
                <v:shape id="Picture 24" style="position:absolute;width:75565;height:9032;left:0;top:0;" filled="f">
                  <v:imagedata r:id="rId8"/>
                </v:shape>
                <v:shape id="Picture 2381" style="position:absolute;width:74828;height:9052;left:609;top:609;" filled="f">
                  <v:imagedata r:id="rId9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     Deseja receber os Boletins de Jurisprudência do Tribunal? </w:t>
      </w:r>
      <w:hyperlink r:id="rId10">
        <w:r>
          <w:rPr>
            <w:rFonts w:ascii="Arial" w:eastAsia="Arial" w:hAnsi="Arial" w:cs="Arial"/>
            <w:color w:val="0000FF"/>
            <w:sz w:val="24"/>
            <w:u w:val="single" w:color="0000FF"/>
          </w:rPr>
          <w:t>Clique aqui.</w:t>
        </w:r>
      </w:hyperlink>
    </w:p>
    <w:p w14:paraId="11B41544" w14:textId="77777777" w:rsidR="002509D5" w:rsidRDefault="00000000">
      <w:pPr>
        <w:spacing w:after="642"/>
        <w:ind w:left="2280"/>
      </w:pPr>
      <w:r>
        <w:rPr>
          <w:noProof/>
        </w:rPr>
        <mc:AlternateContent>
          <mc:Choice Requires="wpg">
            <w:drawing>
              <wp:inline distT="0" distB="0" distL="0" distR="0" wp14:anchorId="475878E6" wp14:editId="2822FA41">
                <wp:extent cx="3683000" cy="12700"/>
                <wp:effectExtent l="0" t="0" r="0" b="0"/>
                <wp:docPr id="1800" name="Group 1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000" cy="12700"/>
                          <a:chOff x="0" y="0"/>
                          <a:chExt cx="3683000" cy="12700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368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0">
                                <a:moveTo>
                                  <a:pt x="0" y="0"/>
                                </a:moveTo>
                                <a:lnTo>
                                  <a:pt x="3683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0" style="width:290pt;height:1pt;mso-position-horizontal-relative:char;mso-position-vertical-relative:line" coordsize="36830,127">
                <v:shape id="Shape 31" style="position:absolute;width:36830;height:0;left:0;top:0;" coordsize="3683000,0" path="m0,0l36830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4A07D50" w14:textId="77777777" w:rsidR="002509D5" w:rsidRDefault="00000000">
      <w:pPr>
        <w:spacing w:after="182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PROCESSUAL. LICITAÇÃO E CONTRATOS. SECRETARIA DE ESTADO DE EDUCAÇÃO DO DISTRITO FEDERAL SEE/DF. CONSULTA. INADMISSIBILIDADE. PARECER TÉCNICO-JURÍDICO. AUSÊNCIA. ADMINISTRAÇÃO PÚBLICA DISTRITAL. ATA DE REGISTRO DE PREÇOS. ADMINISTRAÇÃO PÚBLICA MUNICIPAL. ADESÃO. IMPOSSIBILIDADE.</w:t>
      </w:r>
    </w:p>
    <w:p w14:paraId="5BF434F6" w14:textId="77777777" w:rsidR="002509D5" w:rsidRDefault="00000000">
      <w:pPr>
        <w:spacing w:after="368" w:line="243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Consulta formulada pela Secretaria de Estado de Educação do Distrito Federal - SEE/DF sobre a possibilidade de adesão a ata de registro de preços gerenciada por órgão ou entidade municipal. O Tribunal deliberou por não conhecer da consulta em razão da inobservância de requisito estabelecido no artigo 264, §1º, do Regimento Interno do Tribunal de Contas do Distrito Federal, relativamente à exigência da apresentação do respectivo parecer técnico-jurídico. Entretanto, a corte </w:t>
      </w:r>
      <w:proofErr w:type="gramStart"/>
      <w:r>
        <w:rPr>
          <w:rFonts w:ascii="Arial" w:eastAsia="Arial" w:hAnsi="Arial" w:cs="Arial"/>
          <w:sz w:val="20"/>
        </w:rPr>
        <w:t>decidiu  esclarecer</w:t>
      </w:r>
      <w:proofErr w:type="gramEnd"/>
      <w:r>
        <w:rPr>
          <w:rFonts w:ascii="Arial" w:eastAsia="Arial" w:hAnsi="Arial" w:cs="Arial"/>
          <w:sz w:val="20"/>
        </w:rPr>
        <w:t xml:space="preserve"> à consulente e aos demais jurisdicionados, acerca da impossibilidade de adesão a atas de registro de preços gerenciadas por órgãos ou entidades municipais, tendo em conta o disposto no art. 86, §3º, inciso I, da</w:t>
      </w:r>
    </w:p>
    <w:p w14:paraId="42A0A579" w14:textId="77777777" w:rsidR="002509D5" w:rsidRDefault="002509D5">
      <w:pPr>
        <w:sectPr w:rsidR="002509D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2999" w:right="357" w:bottom="1953" w:left="720" w:header="720" w:footer="720" w:gutter="0"/>
          <w:cols w:space="720"/>
          <w:titlePg/>
        </w:sectPr>
      </w:pPr>
    </w:p>
    <w:p w14:paraId="27F8E036" w14:textId="77777777" w:rsidR="002509D5" w:rsidRDefault="00000000">
      <w:pPr>
        <w:spacing w:after="368" w:line="243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Lei nº 14.133/2021.</w:t>
      </w:r>
    </w:p>
    <w:p w14:paraId="11BE3583" w14:textId="77777777" w:rsidR="002509D5" w:rsidRDefault="00000000">
      <w:pPr>
        <w:spacing w:after="58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Relator:</w:t>
      </w:r>
    </w:p>
    <w:p w14:paraId="4917976A" w14:textId="77777777" w:rsidR="002509D5" w:rsidRDefault="00000000">
      <w:pPr>
        <w:spacing w:after="136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Paulo Tadeu Vale Da Silva</w:t>
      </w:r>
    </w:p>
    <w:p w14:paraId="29189985" w14:textId="77777777" w:rsidR="002509D5" w:rsidRDefault="00000000">
      <w:pPr>
        <w:spacing w:after="58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Decisão por unanimidade Sessão:</w:t>
      </w:r>
    </w:p>
    <w:p w14:paraId="2FC65F41" w14:textId="77777777" w:rsidR="002509D5" w:rsidRDefault="00000000">
      <w:pPr>
        <w:spacing w:after="136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ORDINÁRIA nº 5375, de 10/04/2024.</w:t>
      </w:r>
    </w:p>
    <w:tbl>
      <w:tblPr>
        <w:tblStyle w:val="TableGrid"/>
        <w:tblpPr w:vertAnchor="text" w:horzAnchor="margin"/>
        <w:tblOverlap w:val="never"/>
        <w:tblW w:w="934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2509D5" w14:paraId="3D763CEC" w14:textId="77777777">
        <w:trPr>
          <w:trHeight w:val="3935"/>
        </w:trPr>
        <w:tc>
          <w:tcPr>
            <w:tcW w:w="10823" w:type="dxa"/>
            <w:tcBorders>
              <w:top w:val="nil"/>
              <w:left w:val="nil"/>
              <w:bottom w:val="nil"/>
              <w:right w:val="nil"/>
            </w:tcBorders>
          </w:tcPr>
          <w:p w14:paraId="68411594" w14:textId="77777777" w:rsidR="002509D5" w:rsidRDefault="00000000">
            <w:pPr>
              <w:spacing w:after="152"/>
              <w:ind w:left="620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>Legislação relacionada:</w:t>
            </w:r>
          </w:p>
          <w:p w14:paraId="23E5CE38" w14:textId="77777777" w:rsidR="002509D5" w:rsidRDefault="00000000">
            <w:pPr>
              <w:spacing w:after="172"/>
              <w:ind w:left="620"/>
            </w:pPr>
            <w:hyperlink r:id="rId17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Resolução nº 296/2016, Art. 264.</w:t>
              </w:r>
            </w:hyperlink>
          </w:p>
          <w:p w14:paraId="4225130F" w14:textId="77777777" w:rsidR="002509D5" w:rsidRDefault="00000000">
            <w:pPr>
              <w:spacing w:after="172"/>
              <w:ind w:left="620"/>
            </w:pPr>
            <w:hyperlink r:id="rId18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14133/2021, Art. 86, § 3º, I.</w:t>
              </w:r>
            </w:hyperlink>
          </w:p>
          <w:tbl>
            <w:tblPr>
              <w:tblStyle w:val="TableGrid"/>
              <w:tblpPr w:vertAnchor="text" w:tblpY="-42"/>
              <w:tblOverlap w:val="never"/>
              <w:tblW w:w="500" w:type="dxa"/>
              <w:tblInd w:w="0" w:type="dxa"/>
              <w:tblCellMar>
                <w:top w:w="59" w:type="dxa"/>
                <w:left w:w="172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00"/>
            </w:tblGrid>
            <w:tr w:rsidR="002509D5" w14:paraId="28C8E46B" w14:textId="77777777">
              <w:trPr>
                <w:trHeight w:val="400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1447F"/>
                </w:tcPr>
                <w:p w14:paraId="235902B0" w14:textId="77777777" w:rsidR="002509D5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28"/>
                    </w:rPr>
                    <w:t>2</w:t>
                  </w:r>
                </w:p>
              </w:tc>
            </w:tr>
          </w:tbl>
          <w:p w14:paraId="3DEFA57A" w14:textId="77777777" w:rsidR="002509D5" w:rsidRDefault="00000000">
            <w:pPr>
              <w:spacing w:after="182" w:line="243" w:lineRule="auto"/>
              <w:ind w:left="620" w:right="-209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LICITAÇÕES E CONTRATOS. TRIBUNAL DE CONTAS DO DISTRITO FEDERAL - TCDF. ESTUDOS ESPECIAIS. ORÇAMENTO DE REFERÊNCIA. SIGILO. UTILIZAÇÃO. VANTAJOSIDADE. ANÁLISE. LEI DAS ESTATAIS. CUMPRIMENTO.</w:t>
            </w:r>
          </w:p>
          <w:p w14:paraId="2DAC1389" w14:textId="77777777" w:rsidR="002509D5" w:rsidRDefault="00000000">
            <w:pPr>
              <w:spacing w:after="0"/>
              <w:ind w:left="620" w:right="-2094"/>
              <w:jc w:val="both"/>
            </w:pPr>
            <w:r>
              <w:rPr>
                <w:rFonts w:ascii="Arial" w:eastAsia="Arial" w:hAnsi="Arial" w:cs="Arial"/>
                <w:sz w:val="20"/>
              </w:rPr>
              <w:t>Estudos Especiais com o objetivo de analisar a vantajosidade da utilização do sigilo do orçamento de referência nos editais que a Terracap e as demais estatais vierem a promover, procurando comparar os resultados desses certames com aqueles realizados antes da adoção desse instrumento, para obras de mesma natureza, a fim de subsidiar futuras definições em editais promovidos pela jurisdicionada. Diante da ausência de qualquer demonstração absoluta que afaste a adequabilidade do dispositivo legal constante do caput do art. 34 da Lei nº 13.303/2016, o  Tribunal decidiu deixar de expedir qualquer determinação às empresas públicas e sociedades de economia mista do Distrito Federal que estejam submetidas à Lei n.º 13.303/2016 acerca da adoção (ou não) do sigilo do valor estimado do contrato previsto no art. 34, caput, daquela lei, prevalecendo o entendimento constante do aludido dispositivo legal.</w:t>
            </w:r>
          </w:p>
        </w:tc>
      </w:tr>
    </w:tbl>
    <w:p w14:paraId="7C0BEE84" w14:textId="77777777" w:rsidR="002509D5" w:rsidRDefault="00000000">
      <w:pPr>
        <w:spacing w:after="47" w:line="265" w:lineRule="auto"/>
        <w:ind w:left="15" w:hanging="10"/>
      </w:pPr>
      <w:hyperlink r:id="rId19">
        <w:r>
          <w:rPr>
            <w:rFonts w:ascii="Arial" w:eastAsia="Arial" w:hAnsi="Arial" w:cs="Arial"/>
            <w:color w:val="2205FC"/>
            <w:sz w:val="20"/>
            <w:u w:val="single" w:color="2205FC"/>
          </w:rPr>
          <w:t xml:space="preserve">Proc. nº 684/2024 - Dec. nº 1178/2024 </w:t>
        </w:r>
      </w:hyperlink>
      <w:r>
        <w:rPr>
          <w:rFonts w:ascii="Arial" w:eastAsia="Arial" w:hAnsi="Arial" w:cs="Arial"/>
          <w:b/>
          <w:sz w:val="20"/>
        </w:rPr>
        <w:t>Relator:</w:t>
      </w:r>
    </w:p>
    <w:p w14:paraId="70CA3469" w14:textId="77777777" w:rsidR="002509D5" w:rsidRDefault="00000000">
      <w:pPr>
        <w:spacing w:after="136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Anilcéia Luzia Machado</w:t>
      </w:r>
    </w:p>
    <w:p w14:paraId="1849A718" w14:textId="77777777" w:rsidR="002509D5" w:rsidRDefault="00000000">
      <w:pPr>
        <w:spacing w:after="136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Decisão por unanimidade</w:t>
      </w:r>
    </w:p>
    <w:p w14:paraId="5C9BFC70" w14:textId="77777777" w:rsidR="002509D5" w:rsidRDefault="00000000">
      <w:pPr>
        <w:spacing w:after="58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Sessão:</w:t>
      </w:r>
    </w:p>
    <w:p w14:paraId="673041C8" w14:textId="77777777" w:rsidR="002509D5" w:rsidRDefault="00000000">
      <w:pPr>
        <w:spacing w:after="136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ORDINÁRIA nº 5378, de 08/05/2024.</w:t>
      </w:r>
    </w:p>
    <w:tbl>
      <w:tblPr>
        <w:tblStyle w:val="TableGrid"/>
        <w:tblpPr w:vertAnchor="text" w:horzAnchor="margin" w:tblpY="500"/>
        <w:tblOverlap w:val="never"/>
        <w:tblW w:w="934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2509D5" w14:paraId="6F01950C" w14:textId="77777777">
        <w:trPr>
          <w:trHeight w:val="4662"/>
        </w:trPr>
        <w:tc>
          <w:tcPr>
            <w:tcW w:w="10822" w:type="dxa"/>
            <w:tcBorders>
              <w:top w:val="nil"/>
              <w:left w:val="nil"/>
              <w:bottom w:val="nil"/>
              <w:right w:val="nil"/>
            </w:tcBorders>
          </w:tcPr>
          <w:p w14:paraId="4158817A" w14:textId="77777777" w:rsidR="002509D5" w:rsidRDefault="00000000">
            <w:pPr>
              <w:spacing w:after="152"/>
              <w:ind w:left="600"/>
            </w:pPr>
            <w:r>
              <w:rPr>
                <w:rFonts w:ascii="Arial" w:eastAsia="Arial" w:hAnsi="Arial" w:cs="Arial"/>
                <w:b/>
                <w:sz w:val="20"/>
              </w:rPr>
              <w:t>Decisões relacionadas:</w:t>
            </w:r>
          </w:p>
          <w:p w14:paraId="7B6C0DC4" w14:textId="77777777" w:rsidR="002509D5" w:rsidRDefault="00000000">
            <w:pPr>
              <w:spacing w:after="180" w:line="417" w:lineRule="auto"/>
              <w:ind w:left="620" w:right="5643"/>
            </w:pPr>
            <w:hyperlink r:id="rId20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 xml:space="preserve">TCDF: Decisão nº 172/2022 </w:t>
              </w:r>
            </w:hyperlink>
            <w:hyperlink r:id="rId21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TCDF: Decisão nº 4837/2023</w:t>
              </w:r>
            </w:hyperlink>
          </w:p>
          <w:p w14:paraId="7B592058" w14:textId="77777777" w:rsidR="002509D5" w:rsidRDefault="00000000">
            <w:pPr>
              <w:spacing w:after="152"/>
              <w:ind w:left="620"/>
            </w:pPr>
            <w:r>
              <w:rPr>
                <w:rFonts w:ascii="Arial" w:eastAsia="Arial" w:hAnsi="Arial" w:cs="Arial"/>
                <w:b/>
                <w:sz w:val="20"/>
              </w:rPr>
              <w:t>Legislação relacionada:</w:t>
            </w:r>
          </w:p>
          <w:p w14:paraId="253AD1D2" w14:textId="77777777" w:rsidR="002509D5" w:rsidRDefault="00000000">
            <w:pPr>
              <w:spacing w:after="172"/>
              <w:ind w:left="620"/>
            </w:pPr>
            <w:hyperlink r:id="rId22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13303/2016, Art. 34.</w:t>
              </w:r>
            </w:hyperlink>
          </w:p>
          <w:tbl>
            <w:tblPr>
              <w:tblStyle w:val="TableGrid"/>
              <w:tblpPr w:vertAnchor="text" w:tblpY="-42"/>
              <w:tblOverlap w:val="never"/>
              <w:tblW w:w="500" w:type="dxa"/>
              <w:tblInd w:w="0" w:type="dxa"/>
              <w:tblCellMar>
                <w:top w:w="59" w:type="dxa"/>
                <w:left w:w="172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00"/>
            </w:tblGrid>
            <w:tr w:rsidR="002509D5" w14:paraId="239674E3" w14:textId="77777777">
              <w:trPr>
                <w:trHeight w:val="400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1447F"/>
                </w:tcPr>
                <w:p w14:paraId="5C9036E2" w14:textId="77777777" w:rsidR="002509D5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28"/>
                    </w:rPr>
                    <w:t>3</w:t>
                  </w:r>
                </w:p>
              </w:tc>
            </w:tr>
          </w:tbl>
          <w:p w14:paraId="5E0EFACF" w14:textId="77777777" w:rsidR="002509D5" w:rsidRDefault="00000000">
            <w:pPr>
              <w:spacing w:after="414" w:line="243" w:lineRule="auto"/>
              <w:ind w:left="620" w:right="-2071"/>
            </w:pPr>
            <w:r>
              <w:rPr>
                <w:rFonts w:ascii="Arial" w:eastAsia="Arial" w:hAnsi="Arial" w:cs="Arial"/>
                <w:b/>
                <w:sz w:val="20"/>
              </w:rPr>
              <w:t>LICITAÇÕES E CONTRATOS. PROCEDIMENTO LICITATÓRIO. LEI DISTRITAL Nº 6.112/2018. PROGRAMA DE INTEGRIDADE NO PLANO DISTRITAL. APLICABILIDADE. DISTRITO FEDERAL. COMPETÊNCIA.</w:t>
            </w:r>
          </w:p>
          <w:p w14:paraId="7FB8C8F0" w14:textId="77777777" w:rsidR="002509D5" w:rsidRDefault="00000000">
            <w:pPr>
              <w:spacing w:after="0"/>
              <w:ind w:left="620" w:right="-2074"/>
              <w:jc w:val="both"/>
            </w:pPr>
            <w:r>
              <w:rPr>
                <w:rFonts w:ascii="Arial" w:eastAsia="Arial" w:hAnsi="Arial" w:cs="Arial"/>
                <w:sz w:val="20"/>
              </w:rPr>
              <w:t>Estudos Especiais com o objetivo de analisar a compatibilidade e aplicabilidade da Lei Distrital nº 6.112/18 aos procedimentos licitatórios levados a efeito no âmbito do Governo do Distrito Federal. Em atenção ao art. 25, § 4º, da Lei nº 14.133/21, entendo correta a iniciativa do governo local em estabelecer a implantação do programa de integridade no plano distrital (embora para licitações com um valor menor do que o estabelecido pelo governo federal), o  Tribunal decidiu considerar que a Lei Distrital nº 6.112/18, alterada pela Lei Distrital nº 6.308/19, apresenta elementos suficientes para sua compatibilidade e aplicabilidade aos procedimentos licitatórios realizados no âmbito do Governo do Distrito Federal.</w:t>
            </w:r>
          </w:p>
        </w:tc>
      </w:tr>
    </w:tbl>
    <w:p w14:paraId="2ABFE2EC" w14:textId="77777777" w:rsidR="002509D5" w:rsidRDefault="00000000">
      <w:pPr>
        <w:spacing w:after="0" w:line="265" w:lineRule="auto"/>
        <w:ind w:left="15" w:hanging="10"/>
      </w:pPr>
      <w:hyperlink r:id="rId23">
        <w:r>
          <w:rPr>
            <w:rFonts w:ascii="Arial" w:eastAsia="Arial" w:hAnsi="Arial" w:cs="Arial"/>
            <w:color w:val="2205FC"/>
            <w:sz w:val="20"/>
            <w:u w:val="single" w:color="2205FC"/>
          </w:rPr>
          <w:t>Proc. nº 10002/2023 - Dec. nº 1589/2024</w:t>
        </w:r>
      </w:hyperlink>
    </w:p>
    <w:p w14:paraId="1E71516D" w14:textId="77777777" w:rsidR="002509D5" w:rsidRDefault="002509D5">
      <w:pPr>
        <w:sectPr w:rsidR="002509D5">
          <w:type w:val="continuous"/>
          <w:pgSz w:w="11900" w:h="16840"/>
          <w:pgMar w:top="442" w:right="2452" w:bottom="1953" w:left="720" w:header="720" w:footer="720" w:gutter="0"/>
          <w:cols w:num="2" w:space="720" w:equalWidth="0">
            <w:col w:w="2555" w:space="2658"/>
            <w:col w:w="3515"/>
          </w:cols>
        </w:sectPr>
      </w:pPr>
    </w:p>
    <w:p w14:paraId="7C4D8654" w14:textId="77777777" w:rsidR="002509D5" w:rsidRDefault="00000000">
      <w:pPr>
        <w:spacing w:after="58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Relator:</w:t>
      </w:r>
    </w:p>
    <w:p w14:paraId="45274C83" w14:textId="77777777" w:rsidR="002509D5" w:rsidRDefault="00000000">
      <w:pPr>
        <w:spacing w:after="136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Anilcéia Luzia Machado</w:t>
      </w:r>
    </w:p>
    <w:p w14:paraId="0FAF0B25" w14:textId="77777777" w:rsidR="002509D5" w:rsidRDefault="00000000">
      <w:pPr>
        <w:spacing w:after="136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Decisão por unanimidade</w:t>
      </w:r>
    </w:p>
    <w:p w14:paraId="494B3DD8" w14:textId="77777777" w:rsidR="002509D5" w:rsidRDefault="00000000">
      <w:pPr>
        <w:spacing w:after="58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Sessão:</w:t>
      </w:r>
    </w:p>
    <w:p w14:paraId="6690522C" w14:textId="77777777" w:rsidR="002509D5" w:rsidRDefault="00000000">
      <w:pPr>
        <w:spacing w:after="136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ORDINÁRIA nº 5380, de 22/05/2024.</w:t>
      </w:r>
    </w:p>
    <w:p w14:paraId="49AD3F7F" w14:textId="77777777" w:rsidR="002509D5" w:rsidRDefault="00000000">
      <w:pPr>
        <w:spacing w:after="0" w:line="265" w:lineRule="auto"/>
        <w:ind w:left="15" w:hanging="10"/>
      </w:pPr>
      <w:hyperlink r:id="rId24">
        <w:r>
          <w:rPr>
            <w:rFonts w:ascii="Arial" w:eastAsia="Arial" w:hAnsi="Arial" w:cs="Arial"/>
            <w:color w:val="2205FC"/>
            <w:sz w:val="20"/>
            <w:u w:val="single" w:color="2205FC"/>
          </w:rPr>
          <w:t>Proc. nº 23284/2018 - Dec. nº 1810/2024</w:t>
        </w:r>
      </w:hyperlink>
    </w:p>
    <w:p w14:paraId="1669B8FD" w14:textId="77777777" w:rsidR="002509D5" w:rsidRDefault="002509D5">
      <w:pPr>
        <w:sectPr w:rsidR="002509D5">
          <w:type w:val="continuous"/>
          <w:pgSz w:w="11900" w:h="16840"/>
          <w:pgMar w:top="1440" w:right="2452" w:bottom="1440" w:left="720" w:header="720" w:footer="720" w:gutter="0"/>
          <w:cols w:num="2" w:space="720" w:equalWidth="0">
            <w:col w:w="2434" w:space="2646"/>
            <w:col w:w="3648"/>
          </w:cols>
        </w:sectPr>
      </w:pPr>
    </w:p>
    <w:p w14:paraId="70EA912E" w14:textId="77777777" w:rsidR="002509D5" w:rsidRDefault="00000000">
      <w:pPr>
        <w:spacing w:after="80" w:line="417" w:lineRule="auto"/>
        <w:ind w:left="15" w:right="5930" w:hanging="10"/>
      </w:pPr>
      <w:r>
        <w:rPr>
          <w:rFonts w:ascii="Arial" w:eastAsia="Arial" w:hAnsi="Arial" w:cs="Arial"/>
          <w:b/>
          <w:sz w:val="20"/>
        </w:rPr>
        <w:t xml:space="preserve">Precedentes externos: </w:t>
      </w:r>
      <w:hyperlink r:id="rId25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STF nº RE 1410340/SP</w:t>
        </w:r>
      </w:hyperlink>
    </w:p>
    <w:p w14:paraId="71D098A7" w14:textId="77777777" w:rsidR="002509D5" w:rsidRDefault="00000000">
      <w:pPr>
        <w:spacing w:after="158" w:line="251" w:lineRule="auto"/>
        <w:ind w:left="-5" w:hanging="10"/>
        <w:jc w:val="both"/>
      </w:pPr>
      <w:r>
        <w:rPr>
          <w:rFonts w:ascii="Arial" w:eastAsia="Arial" w:hAnsi="Arial" w:cs="Arial"/>
          <w:b/>
          <w:sz w:val="20"/>
        </w:rPr>
        <w:t>Legislação relacionada:</w:t>
      </w:r>
    </w:p>
    <w:p w14:paraId="6A7D441D" w14:textId="77777777" w:rsidR="002509D5" w:rsidRDefault="00000000">
      <w:pPr>
        <w:spacing w:after="167" w:line="265" w:lineRule="auto"/>
        <w:ind w:left="15" w:hanging="10"/>
      </w:pPr>
      <w:hyperlink r:id="rId26">
        <w:r>
          <w:rPr>
            <w:rFonts w:ascii="Arial" w:eastAsia="Arial" w:hAnsi="Arial" w:cs="Arial"/>
            <w:color w:val="2205FC"/>
            <w:sz w:val="20"/>
            <w:u w:val="single" w:color="2205FC"/>
          </w:rPr>
          <w:t>Lei nº 6112/2018.</w:t>
        </w:r>
      </w:hyperlink>
    </w:p>
    <w:p w14:paraId="62AAF9B4" w14:textId="77777777" w:rsidR="002509D5" w:rsidRDefault="00000000">
      <w:pPr>
        <w:spacing w:after="40" w:line="265" w:lineRule="auto"/>
        <w:ind w:left="15" w:hanging="10"/>
      </w:pPr>
      <w:hyperlink r:id="rId27">
        <w:r>
          <w:rPr>
            <w:rFonts w:ascii="Arial" w:eastAsia="Arial" w:hAnsi="Arial" w:cs="Arial"/>
            <w:color w:val="2205FC"/>
            <w:sz w:val="20"/>
            <w:u w:val="single" w:color="2205FC"/>
          </w:rPr>
          <w:t>Lei nº 14133/2021, Art. 25, § 4º.</w:t>
        </w:r>
      </w:hyperlink>
    </w:p>
    <w:p w14:paraId="543A612E" w14:textId="77777777" w:rsidR="002509D5" w:rsidRDefault="00000000">
      <w:pPr>
        <w:spacing w:after="470"/>
        <w:ind w:left="280" w:right="-1465"/>
      </w:pPr>
      <w:r>
        <w:rPr>
          <w:noProof/>
        </w:rPr>
        <mc:AlternateContent>
          <mc:Choice Requires="wpg">
            <w:drawing>
              <wp:inline distT="0" distB="0" distL="0" distR="0" wp14:anchorId="60E75C43" wp14:editId="26CB6F93">
                <wp:extent cx="6350000" cy="12700"/>
                <wp:effectExtent l="0" t="0" r="0" b="0"/>
                <wp:docPr id="1977" name="Group 1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12700"/>
                          <a:chOff x="0" y="0"/>
                          <a:chExt cx="6350000" cy="12700"/>
                        </a:xfrm>
                      </wpg:grpSpPr>
                      <wps:wsp>
                        <wps:cNvPr id="123" name="Shape 123"/>
                        <wps:cNvSpPr/>
                        <wps:spPr>
                          <a:xfrm>
                            <a:off x="0" y="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7" style="width:500pt;height:1pt;mso-position-horizontal-relative:char;mso-position-vertical-relative:line" coordsize="63500,127">
                <v:shape id="Shape 123" style="position:absolute;width:63500;height:0;left:0;top:0;" coordsize="6350000,0" path="m0,0l63500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EAF060A" w14:textId="77777777" w:rsidR="002509D5" w:rsidRDefault="00000000">
      <w:pPr>
        <w:spacing w:after="222"/>
        <w:ind w:left="2636" w:hanging="10"/>
      </w:pPr>
      <w:r>
        <w:rPr>
          <w:rFonts w:ascii="Arial" w:eastAsia="Arial" w:hAnsi="Arial" w:cs="Arial"/>
          <w:b/>
          <w:sz w:val="24"/>
        </w:rPr>
        <w:t>OUTRAS DECISÕES REFERENTES À LICITAÇÕES E</w:t>
      </w:r>
    </w:p>
    <w:p w14:paraId="7B878FC9" w14:textId="77777777" w:rsidR="002509D5" w:rsidRDefault="00000000">
      <w:pPr>
        <w:spacing w:after="167" w:line="265" w:lineRule="auto"/>
        <w:ind w:left="15" w:hanging="10"/>
      </w:pPr>
      <w:hyperlink r:id="rId28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1265/2024</w:t>
        </w:r>
      </w:hyperlink>
    </w:p>
    <w:p w14:paraId="1AA41047" w14:textId="77777777" w:rsidR="002509D5" w:rsidRDefault="00000000">
      <w:pPr>
        <w:spacing w:after="167" w:line="265" w:lineRule="auto"/>
        <w:ind w:left="15" w:hanging="10"/>
      </w:pPr>
      <w:hyperlink r:id="rId29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1313/2024</w:t>
        </w:r>
      </w:hyperlink>
    </w:p>
    <w:p w14:paraId="231129D2" w14:textId="77777777" w:rsidR="002509D5" w:rsidRDefault="00000000">
      <w:pPr>
        <w:spacing w:after="167" w:line="265" w:lineRule="auto"/>
        <w:ind w:left="15" w:hanging="10"/>
      </w:pPr>
      <w:hyperlink r:id="rId30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1397/2024</w:t>
        </w:r>
      </w:hyperlink>
    </w:p>
    <w:p w14:paraId="647E0F57" w14:textId="77777777" w:rsidR="002509D5" w:rsidRDefault="00000000">
      <w:pPr>
        <w:spacing w:after="167" w:line="265" w:lineRule="auto"/>
        <w:ind w:left="15" w:hanging="10"/>
      </w:pPr>
      <w:hyperlink r:id="rId31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1475/2024</w:t>
        </w:r>
      </w:hyperlink>
    </w:p>
    <w:p w14:paraId="531F6355" w14:textId="77777777" w:rsidR="002509D5" w:rsidRDefault="00000000">
      <w:pPr>
        <w:spacing w:after="167" w:line="265" w:lineRule="auto"/>
        <w:ind w:left="15" w:hanging="10"/>
      </w:pPr>
      <w:hyperlink r:id="rId32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1469/2024</w:t>
        </w:r>
      </w:hyperlink>
    </w:p>
    <w:p w14:paraId="76328ED7" w14:textId="77777777" w:rsidR="002509D5" w:rsidRDefault="00000000">
      <w:pPr>
        <w:spacing w:after="13007" w:line="265" w:lineRule="auto"/>
        <w:ind w:left="15" w:hanging="10"/>
      </w:pPr>
      <w:hyperlink r:id="rId33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1724/2024</w:t>
        </w:r>
      </w:hyperlink>
    </w:p>
    <w:p w14:paraId="0C9EBB94" w14:textId="77777777" w:rsidR="002509D5" w:rsidRDefault="00000000">
      <w:pPr>
        <w:spacing w:after="0"/>
        <w:ind w:left="10" w:right="-15" w:hanging="10"/>
        <w:jc w:val="right"/>
      </w:pPr>
      <w:r>
        <w:rPr>
          <w:rFonts w:ascii="Arial" w:eastAsia="Arial" w:hAnsi="Arial" w:cs="Arial"/>
          <w:color w:val="FFFFFF"/>
          <w:sz w:val="20"/>
        </w:rPr>
        <w:lastRenderedPageBreak/>
        <w:t>Coordenadoria de Biblioteca, Gestão da Informação e do Conhecimento – COBGI</w:t>
      </w:r>
    </w:p>
    <w:p w14:paraId="408EDEC7" w14:textId="77777777" w:rsidR="002509D5" w:rsidRDefault="00000000">
      <w:pPr>
        <w:spacing w:after="0"/>
        <w:ind w:left="10" w:right="345" w:hanging="10"/>
        <w:jc w:val="right"/>
      </w:pPr>
      <w:r>
        <w:rPr>
          <w:rFonts w:ascii="Arial" w:eastAsia="Arial" w:hAnsi="Arial" w:cs="Arial"/>
          <w:color w:val="FFFFFF"/>
          <w:sz w:val="20"/>
        </w:rPr>
        <w:t>Supervisão de Sistemas de Informação, Legislação e Jurisprudência - SSI</w:t>
      </w:r>
    </w:p>
    <w:p w14:paraId="4405531B" w14:textId="77777777" w:rsidR="002509D5" w:rsidRDefault="00000000">
      <w:pPr>
        <w:spacing w:after="0"/>
        <w:ind w:left="1960"/>
      </w:pPr>
      <w:r>
        <w:rPr>
          <w:rFonts w:ascii="Arial" w:eastAsia="Arial" w:hAnsi="Arial" w:cs="Arial"/>
          <w:b/>
          <w:color w:val="FFFFFF"/>
          <w:sz w:val="20"/>
        </w:rPr>
        <w:t xml:space="preserve">Telefone: </w:t>
      </w:r>
      <w:r>
        <w:rPr>
          <w:rFonts w:ascii="Arial" w:eastAsia="Arial" w:hAnsi="Arial" w:cs="Arial"/>
          <w:color w:val="FFFFFF"/>
          <w:sz w:val="20"/>
        </w:rPr>
        <w:t xml:space="preserve">(61) 3314-2226/2593/2259 </w:t>
      </w:r>
      <w:r>
        <w:rPr>
          <w:rFonts w:ascii="Arial" w:eastAsia="Arial" w:hAnsi="Arial" w:cs="Arial"/>
          <w:b/>
          <w:color w:val="FFFFFF"/>
          <w:sz w:val="20"/>
        </w:rPr>
        <w:t xml:space="preserve">email: </w:t>
      </w:r>
      <w:r>
        <w:rPr>
          <w:rFonts w:ascii="Arial" w:eastAsia="Arial" w:hAnsi="Arial" w:cs="Arial"/>
          <w:color w:val="FFFFFF"/>
          <w:sz w:val="20"/>
        </w:rPr>
        <w:t>jurisprudencia@tc.df.gov.br</w:t>
      </w:r>
    </w:p>
    <w:sectPr w:rsidR="002509D5">
      <w:type w:val="continuous"/>
      <w:pgSz w:w="11900" w:h="16840"/>
      <w:pgMar w:top="442" w:right="2365" w:bottom="38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7774" w14:textId="77777777" w:rsidR="005B2726" w:rsidRDefault="005B2726">
      <w:pPr>
        <w:spacing w:after="0" w:line="240" w:lineRule="auto"/>
      </w:pPr>
      <w:r>
        <w:separator/>
      </w:r>
    </w:p>
  </w:endnote>
  <w:endnote w:type="continuationSeparator" w:id="0">
    <w:p w14:paraId="5099381B" w14:textId="77777777" w:rsidR="005B2726" w:rsidRDefault="005B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5640"/>
      <w:tblOverlap w:val="never"/>
      <w:tblW w:w="11900" w:type="dxa"/>
      <w:tblInd w:w="0" w:type="dxa"/>
      <w:tblCellMar>
        <w:top w:w="0" w:type="dxa"/>
        <w:left w:w="115" w:type="dxa"/>
        <w:bottom w:w="157" w:type="dxa"/>
        <w:right w:w="838" w:type="dxa"/>
      </w:tblCellMar>
      <w:tblLook w:val="04A0" w:firstRow="1" w:lastRow="0" w:firstColumn="1" w:lastColumn="0" w:noHBand="0" w:noVBand="1"/>
    </w:tblPr>
    <w:tblGrid>
      <w:gridCol w:w="11900"/>
    </w:tblGrid>
    <w:tr w:rsidR="002509D5" w14:paraId="358FE5AC" w14:textId="77777777">
      <w:trPr>
        <w:trHeight w:val="1200"/>
      </w:trPr>
      <w:tc>
        <w:tcPr>
          <w:tcW w:w="11900" w:type="dxa"/>
          <w:tcBorders>
            <w:top w:val="nil"/>
            <w:left w:val="nil"/>
            <w:bottom w:val="nil"/>
            <w:right w:val="nil"/>
          </w:tcBorders>
          <w:shd w:val="clear" w:color="auto" w:fill="01447F"/>
          <w:vAlign w:val="bottom"/>
        </w:tcPr>
        <w:p w14:paraId="25908D77" w14:textId="77777777" w:rsidR="002509D5" w:rsidRDefault="00000000">
          <w:pPr>
            <w:spacing w:after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b/>
              <w:color w:val="FFFFFF"/>
              <w:sz w:val="80"/>
            </w:rPr>
            <w:t>1</w:t>
          </w:r>
          <w:r>
            <w:rPr>
              <w:rFonts w:ascii="Arial" w:eastAsia="Arial" w:hAnsi="Arial" w:cs="Arial"/>
              <w:b/>
              <w:color w:val="FFFFFF"/>
              <w:sz w:val="80"/>
            </w:rPr>
            <w:fldChar w:fldCharType="end"/>
          </w:r>
        </w:p>
      </w:tc>
    </w:tr>
  </w:tbl>
  <w:p w14:paraId="6C6AD059" w14:textId="77777777" w:rsidR="002509D5" w:rsidRDefault="002509D5">
    <w:pPr>
      <w:spacing w:after="0"/>
      <w:ind w:left="-720" w:right="115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CD8B" w14:textId="77777777" w:rsidR="002509D5" w:rsidRDefault="00000000">
    <w:pPr>
      <w:spacing w:after="0"/>
      <w:ind w:right="48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color w:val="FFFFFF"/>
        <w:sz w:val="80"/>
      </w:rPr>
      <w:t>3</w:t>
    </w:r>
    <w:r>
      <w:rPr>
        <w:rFonts w:ascii="Arial" w:eastAsia="Arial" w:hAnsi="Arial" w:cs="Arial"/>
        <w:b/>
        <w:color w:val="FFFFFF"/>
        <w:sz w:val="8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5640"/>
      <w:tblOverlap w:val="never"/>
      <w:tblW w:w="11900" w:type="dxa"/>
      <w:tblInd w:w="0" w:type="dxa"/>
      <w:tblCellMar>
        <w:top w:w="0" w:type="dxa"/>
        <w:left w:w="115" w:type="dxa"/>
        <w:bottom w:w="157" w:type="dxa"/>
        <w:right w:w="838" w:type="dxa"/>
      </w:tblCellMar>
      <w:tblLook w:val="04A0" w:firstRow="1" w:lastRow="0" w:firstColumn="1" w:lastColumn="0" w:noHBand="0" w:noVBand="1"/>
    </w:tblPr>
    <w:tblGrid>
      <w:gridCol w:w="11900"/>
    </w:tblGrid>
    <w:tr w:rsidR="002509D5" w14:paraId="2266711F" w14:textId="77777777">
      <w:trPr>
        <w:trHeight w:val="1200"/>
      </w:trPr>
      <w:tc>
        <w:tcPr>
          <w:tcW w:w="11900" w:type="dxa"/>
          <w:tcBorders>
            <w:top w:val="nil"/>
            <w:left w:val="nil"/>
            <w:bottom w:val="nil"/>
            <w:right w:val="nil"/>
          </w:tcBorders>
          <w:shd w:val="clear" w:color="auto" w:fill="01447F"/>
          <w:vAlign w:val="bottom"/>
        </w:tcPr>
        <w:p w14:paraId="3706FEB7" w14:textId="77777777" w:rsidR="002509D5" w:rsidRDefault="00000000">
          <w:pPr>
            <w:spacing w:after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b/>
              <w:color w:val="FFFFFF"/>
              <w:sz w:val="80"/>
            </w:rPr>
            <w:t>1</w:t>
          </w:r>
          <w:r>
            <w:rPr>
              <w:rFonts w:ascii="Arial" w:eastAsia="Arial" w:hAnsi="Arial" w:cs="Arial"/>
              <w:b/>
              <w:color w:val="FFFFFF"/>
              <w:sz w:val="80"/>
            </w:rPr>
            <w:fldChar w:fldCharType="end"/>
          </w:r>
        </w:p>
      </w:tc>
    </w:tr>
  </w:tbl>
  <w:p w14:paraId="4F0E8668" w14:textId="77777777" w:rsidR="002509D5" w:rsidRDefault="002509D5">
    <w:pPr>
      <w:spacing w:after="0"/>
      <w:ind w:left="-720" w:right="115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0807C" w14:textId="77777777" w:rsidR="005B2726" w:rsidRDefault="005B2726">
      <w:pPr>
        <w:spacing w:after="0" w:line="240" w:lineRule="auto"/>
      </w:pPr>
      <w:r>
        <w:separator/>
      </w:r>
    </w:p>
  </w:footnote>
  <w:footnote w:type="continuationSeparator" w:id="0">
    <w:p w14:paraId="11F6E35D" w14:textId="77777777" w:rsidR="005B2726" w:rsidRDefault="005B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8546" w14:textId="77777777" w:rsidR="002509D5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5B078C5" wp14:editId="0E1615D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06400" cy="9931400"/>
              <wp:effectExtent l="0" t="0" r="0" b="0"/>
              <wp:wrapNone/>
              <wp:docPr id="2417" name="Group 2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6400" cy="9931400"/>
                        <a:chOff x="0" y="0"/>
                        <a:chExt cx="406400" cy="9931400"/>
                      </a:xfrm>
                    </wpg:grpSpPr>
                    <wps:wsp>
                      <wps:cNvPr id="2566" name="Shape 2566"/>
                      <wps:cNvSpPr/>
                      <wps:spPr>
                        <a:xfrm>
                          <a:off x="0" y="0"/>
                          <a:ext cx="406400" cy="9931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0" h="9931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  <a:lnTo>
                                <a:pt x="406400" y="9931400"/>
                              </a:lnTo>
                              <a:lnTo>
                                <a:pt x="0" y="9931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17" style="width:32pt;height:782pt;position:absolute;z-index:-2147483648;mso-position-horizontal-relative:page;mso-position-horizontal:absolute;margin-left:0pt;mso-position-vertical-relative:page;margin-top:0pt;" coordsize="4064,99314">
              <v:shape id="Shape 2567" style="position:absolute;width:4064;height:99314;left:0;top:0;" coordsize="406400,9931400" path="m0,0l406400,0l406400,9931400l0,9931400l0,0">
                <v:stroke weight="0pt" endcap="square" joinstyle="miter" miterlimit="10" on="false" color="#000000" opacity="0"/>
                <v:fill on="true" color="#01447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732E" w14:textId="77777777" w:rsidR="002509D5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0502E07" wp14:editId="1F02650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2407" name="Group 2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693400"/>
                        <a:chOff x="0" y="0"/>
                        <a:chExt cx="7556500" cy="10693400"/>
                      </a:xfrm>
                    </wpg:grpSpPr>
                    <wps:wsp>
                      <wps:cNvPr id="2562" name="Shape 2562"/>
                      <wps:cNvSpPr/>
                      <wps:spPr>
                        <a:xfrm>
                          <a:off x="0" y="0"/>
                          <a:ext cx="406400" cy="9931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0" h="9931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  <a:lnTo>
                                <a:pt x="406400" y="9931400"/>
                              </a:lnTo>
                              <a:lnTo>
                                <a:pt x="0" y="9931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63" name="Shape 2563"/>
                      <wps:cNvSpPr/>
                      <wps:spPr>
                        <a:xfrm>
                          <a:off x="0" y="9931400"/>
                          <a:ext cx="7556500" cy="76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7620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762000"/>
                              </a:lnTo>
                              <a:lnTo>
                                <a:pt x="0" y="76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07" style="width:595pt;height:842pt;position:absolute;z-index:-2147483648;mso-position-horizontal-relative:page;mso-position-horizontal:absolute;margin-left:0pt;mso-position-vertical-relative:page;margin-top:0pt;" coordsize="75565,106934">
              <v:shape id="Shape 2564" style="position:absolute;width:4064;height:99314;left:0;top:0;" coordsize="406400,9931400" path="m0,0l406400,0l406400,9931400l0,9931400l0,0">
                <v:stroke weight="0pt" endcap="square" joinstyle="miter" miterlimit="10" on="false" color="#000000" opacity="0"/>
                <v:fill on="true" color="#01447f"/>
              </v:shape>
              <v:shape id="Shape 2565" style="position:absolute;width:75565;height:7620;left:0;top:99314;" coordsize="7556500,762000" path="m0,0l7556500,0l7556500,762000l0,762000l0,0">
                <v:stroke weight="0pt" endcap="square" joinstyle="miter" miterlimit="10" on="false" color="#000000" opacity="0"/>
                <v:fill on="true" color="#01447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128D" w14:textId="77777777" w:rsidR="002509D5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9E9ECD9" wp14:editId="5E30110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06400" cy="9931400"/>
              <wp:effectExtent l="0" t="0" r="0" b="0"/>
              <wp:wrapNone/>
              <wp:docPr id="2392" name="Group 23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6400" cy="9931400"/>
                        <a:chOff x="0" y="0"/>
                        <a:chExt cx="406400" cy="9931400"/>
                      </a:xfrm>
                    </wpg:grpSpPr>
                    <wps:wsp>
                      <wps:cNvPr id="2560" name="Shape 2560"/>
                      <wps:cNvSpPr/>
                      <wps:spPr>
                        <a:xfrm>
                          <a:off x="0" y="0"/>
                          <a:ext cx="406400" cy="9931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0" h="9931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  <a:lnTo>
                                <a:pt x="406400" y="9931400"/>
                              </a:lnTo>
                              <a:lnTo>
                                <a:pt x="0" y="9931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92" style="width:32pt;height:782pt;position:absolute;z-index:-2147483648;mso-position-horizontal-relative:page;mso-position-horizontal:absolute;margin-left:0pt;mso-position-vertical-relative:page;margin-top:0pt;" coordsize="4064,99314">
              <v:shape id="Shape 2561" style="position:absolute;width:4064;height:99314;left:0;top:0;" coordsize="406400,9931400" path="m0,0l406400,0l406400,9931400l0,9931400l0,0">
                <v:stroke weight="0pt" endcap="square" joinstyle="miter" miterlimit="10" on="false" color="#000000" opacity="0"/>
                <v:fill on="true" color="#01447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9D5"/>
    <w:rsid w:val="00061010"/>
    <w:rsid w:val="002509D5"/>
    <w:rsid w:val="005B2726"/>
    <w:rsid w:val="0083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C298"/>
  <w15:docId w15:val="{C690AFFF-4956-460E-B46F-D6D7C462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footer" Target="footer1.xml"/><Relationship Id="rId18" Type="http://schemas.openxmlformats.org/officeDocument/2006/relationships/hyperlink" Target="http://www.planalto.gov.br/ccivil_03/_ato2019-2022/2021/lei/L14133.htm" TargetMode="External"/><Relationship Id="rId26" Type="http://schemas.openxmlformats.org/officeDocument/2006/relationships/hyperlink" Target="http://www.sinj.df.gov.br/sinj/DetalhesDeNorma.aspx?id_norma=3bf29283d9ea42ce9b8feff3d4fa253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tcdf.tc.df.gov.br/?a=consultaETCDF&amp;f=formPrincipal&amp;edoc=8ABCE55F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hyperlink" Target="http://www.sinj.df.gov.br/sinj/DetalhesDeNorma.aspx?id_norma=103f06688360405fbd9c5562e47f95a7" TargetMode="External"/><Relationship Id="rId25" Type="http://schemas.openxmlformats.org/officeDocument/2006/relationships/hyperlink" Target="https://jurisprudencia.stf.jus.br/pages/search/sjur488824/false" TargetMode="External"/><Relationship Id="rId33" Type="http://schemas.openxmlformats.org/officeDocument/2006/relationships/hyperlink" Target="https://etcdf.tc.df.gov.br/?a=consultaETCDF&amp;f=formPrincipal&amp;edoc=0574CD5A" TargetMode="Externa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hyperlink" Target="https://etcdf.tc.df.gov.br/?a=consultaETCDF&amp;f=formPrincipal&amp;edoc=37894ABC" TargetMode="External"/><Relationship Id="rId29" Type="http://schemas.openxmlformats.org/officeDocument/2006/relationships/hyperlink" Target="https://etcdf.tc.df.gov.br/?a=consultaETCDF&amp;f=formPrincipal&amp;edoc=FF41760D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24" Type="http://schemas.openxmlformats.org/officeDocument/2006/relationships/hyperlink" Target="https://etcdf.tc.df.gov.br/?a=consultaETCDF&amp;f=formPrincipal&amp;edoc=1219827F" TargetMode="External"/><Relationship Id="rId32" Type="http://schemas.openxmlformats.org/officeDocument/2006/relationships/hyperlink" Target="https://etcdf.tc.df.gov.br/?a=consultaETCDF&amp;f=formPrincipal&amp;edoc=6E655471" TargetMode="Externa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23" Type="http://schemas.openxmlformats.org/officeDocument/2006/relationships/hyperlink" Target="https://etcdf.tc.df.gov.br/?a=consultaETCDF&amp;f=formPrincipal&amp;edoc=DE840FE7" TargetMode="External"/><Relationship Id="rId28" Type="http://schemas.openxmlformats.org/officeDocument/2006/relationships/hyperlink" Target="https://etcdf.tc.df.gov.br/?a=consultaETCDF&amp;f=formPrincipal&amp;edoc=C7849EDD" TargetMode="External"/><Relationship Id="rId10" Type="http://schemas.openxmlformats.org/officeDocument/2006/relationships/hyperlink" Target="https://jurisprudencia.tc.df.gov.br/solicitacao-de-boletim/" TargetMode="External"/><Relationship Id="rId19" Type="http://schemas.openxmlformats.org/officeDocument/2006/relationships/hyperlink" Target="https://etcdf.tc.df.gov.br/?a=consultaETCDF&amp;f=formPrincipal&amp;edoc=71777FF7" TargetMode="External"/><Relationship Id="rId31" Type="http://schemas.openxmlformats.org/officeDocument/2006/relationships/hyperlink" Target="https://etcdf.tc.df.gov.br/?a=consultaETCDF&amp;f=formPrincipal&amp;edoc=ACFA9D7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yperlink" Target="http://www.planalto.gov.br/ccivil_03/_ato2015-2018/2016/lei/l13303.htm" TargetMode="External"/><Relationship Id="rId27" Type="http://schemas.openxmlformats.org/officeDocument/2006/relationships/hyperlink" Target="http://www.planalto.gov.br/ccivil_03/_ato2019-2022/2021/lei/L14133.htm" TargetMode="External"/><Relationship Id="rId30" Type="http://schemas.openxmlformats.org/officeDocument/2006/relationships/hyperlink" Target="https://etcdf.tc.df.gov.br/?a=consultaETCDF&amp;f=formPrincipal&amp;edoc=662A9E3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Kamili Teles De Araújo</dc:creator>
  <cp:keywords/>
  <cp:lastModifiedBy>Kamili Teles De Araújo</cp:lastModifiedBy>
  <cp:revision>2</cp:revision>
  <dcterms:created xsi:type="dcterms:W3CDTF">2026-08-26T18:13:00Z</dcterms:created>
  <dcterms:modified xsi:type="dcterms:W3CDTF">2026-08-26T18:13:00Z</dcterms:modified>
</cp:coreProperties>
</file>