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021E" w14:textId="77777777" w:rsidR="00505CA3" w:rsidRDefault="00000000">
      <w:pPr>
        <w:shd w:val="clear" w:color="auto" w:fill="01447F"/>
        <w:spacing w:after="164" w:line="243" w:lineRule="auto"/>
        <w:ind w:left="180" w:right="3010"/>
      </w:pPr>
      <w:r>
        <w:rPr>
          <w:rFonts w:ascii="Arial" w:eastAsia="Arial" w:hAnsi="Arial" w:cs="Arial"/>
          <w:b/>
          <w:color w:val="FFFFFF"/>
          <w:sz w:val="42"/>
        </w:rPr>
        <w:t>Boletim de Jurisprudência Processual, nº 11</w:t>
      </w:r>
    </w:p>
    <w:p w14:paraId="6CCE0399" w14:textId="77777777" w:rsidR="00505CA3" w:rsidRDefault="00000000">
      <w:pPr>
        <w:spacing w:after="222"/>
        <w:ind w:left="175" w:hanging="10"/>
      </w:pPr>
      <w:r>
        <w:rPr>
          <w:rFonts w:ascii="Arial" w:eastAsia="Arial" w:hAnsi="Arial" w:cs="Arial"/>
          <w:b/>
          <w:sz w:val="24"/>
        </w:rPr>
        <w:t>Sessões de janeiro a junho de 2024.</w:t>
      </w:r>
    </w:p>
    <w:p w14:paraId="366D0875" w14:textId="77777777" w:rsidR="00505CA3" w:rsidRDefault="00000000">
      <w:pPr>
        <w:spacing w:after="0" w:line="332" w:lineRule="auto"/>
        <w:ind w:left="115" w:right="8" w:hanging="10"/>
        <w:jc w:val="both"/>
      </w:pPr>
      <w:r>
        <w:rPr>
          <w:rFonts w:ascii="Arial" w:eastAsia="Arial" w:hAnsi="Arial" w:cs="Arial"/>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14:paraId="0FEA3E5C" w14:textId="77777777" w:rsidR="00505CA3" w:rsidRDefault="00000000">
      <w:pPr>
        <w:spacing w:after="0" w:line="332" w:lineRule="auto"/>
        <w:ind w:left="115" w:right="8" w:hanging="10"/>
        <w:jc w:val="both"/>
      </w:pPr>
      <w:r>
        <w:rPr>
          <w:rFonts w:ascii="Arial" w:eastAsia="Arial" w:hAnsi="Arial" w:cs="Arial"/>
          <w:sz w:val="24"/>
        </w:rPr>
        <w:t xml:space="preserve">     Ressalta-se, todavia, que as informações aqui apresentadas não constituem resumo oficial das decisões proferidas pelo Tribunal nem representam, necessariamente, o posicionamento prevalecente na Corte sobre a matéria.</w:t>
      </w:r>
    </w:p>
    <w:p w14:paraId="2866F856" w14:textId="77777777" w:rsidR="00505CA3" w:rsidRDefault="00000000">
      <w:pPr>
        <w:spacing w:after="0" w:line="332" w:lineRule="auto"/>
        <w:ind w:left="115" w:right="8" w:hanging="10"/>
        <w:jc w:val="both"/>
      </w:pPr>
      <w:r>
        <w:rPr>
          <w:rFonts w:ascii="Arial" w:eastAsia="Arial" w:hAnsi="Arial" w:cs="Arial"/>
          <w:sz w:val="24"/>
        </w:rPr>
        <w:t xml:space="preserve">     Este boletim informativo não substitui a publicação oficial das decisões. Para um exame mais aprofundado da decisão, sugere-se o acesso aos documentos do processo por meio dos links presentes em cada decisão.</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06AB4EE1" w14:textId="77777777">
        <w:trPr>
          <w:trHeight w:val="400"/>
        </w:trPr>
        <w:tc>
          <w:tcPr>
            <w:tcW w:w="500" w:type="dxa"/>
            <w:tcBorders>
              <w:top w:val="nil"/>
              <w:left w:val="nil"/>
              <w:bottom w:val="nil"/>
              <w:right w:val="nil"/>
            </w:tcBorders>
            <w:shd w:val="clear" w:color="auto" w:fill="01447F"/>
          </w:tcPr>
          <w:p w14:paraId="1151B577" w14:textId="77777777" w:rsidR="00505CA3" w:rsidRDefault="00000000">
            <w:pPr>
              <w:spacing w:after="0"/>
            </w:pPr>
            <w:r>
              <w:rPr>
                <w:rFonts w:ascii="Arial" w:eastAsia="Arial" w:hAnsi="Arial" w:cs="Arial"/>
                <w:b/>
                <w:color w:val="FFFFFF"/>
                <w:sz w:val="28"/>
              </w:rPr>
              <w:t>1</w:t>
            </w:r>
          </w:p>
        </w:tc>
      </w:tr>
    </w:tbl>
    <w:p w14:paraId="74FDCD80" w14:textId="77777777" w:rsidR="00505CA3" w:rsidRDefault="00000000">
      <w:pPr>
        <w:spacing w:after="681" w:line="332" w:lineRule="auto"/>
        <w:ind w:left="115" w:right="8" w:hanging="10"/>
        <w:jc w:val="both"/>
      </w:pPr>
      <w:r>
        <w:rPr>
          <w:noProof/>
        </w:rPr>
        <mc:AlternateContent>
          <mc:Choice Requires="wpg">
            <w:drawing>
              <wp:anchor distT="0" distB="0" distL="114300" distR="114300" simplePos="0" relativeHeight="251658240" behindDoc="0" locked="0" layoutInCell="1" allowOverlap="1" wp14:anchorId="2796443B" wp14:editId="4AC455C3">
                <wp:simplePos x="0" y="0"/>
                <wp:positionH relativeFrom="page">
                  <wp:posOffset>0</wp:posOffset>
                </wp:positionH>
                <wp:positionV relativeFrom="page">
                  <wp:posOffset>0</wp:posOffset>
                </wp:positionV>
                <wp:extent cx="7556500" cy="966723"/>
                <wp:effectExtent l="0" t="0" r="0" b="0"/>
                <wp:wrapTopAndBottom/>
                <wp:docPr id="3781" name="Group 3781"/>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4886" name="Picture 4886"/>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3781"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9"/>
                </v:shape>
                <v:shape id="Picture 4886" style="position:absolute;width:74828;height:9052;left:609;top:609;" filled="f">
                  <v:imagedata r:id="rId10"/>
                </v:shape>
                <w10:wrap type="topAndBottom"/>
              </v:group>
            </w:pict>
          </mc:Fallback>
        </mc:AlternateContent>
      </w:r>
      <w:r>
        <w:rPr>
          <w:rFonts w:ascii="Arial" w:eastAsia="Arial" w:hAnsi="Arial" w:cs="Arial"/>
          <w:sz w:val="24"/>
        </w:rPr>
        <w:t xml:space="preserve">     Deseja receber os Boletins de Jurisprudência do Tribunal? </w:t>
      </w:r>
      <w:hyperlink r:id="rId11">
        <w:r>
          <w:rPr>
            <w:rFonts w:ascii="Arial" w:eastAsia="Arial" w:hAnsi="Arial" w:cs="Arial"/>
            <w:color w:val="0000FF"/>
            <w:sz w:val="24"/>
            <w:u w:val="single" w:color="0000FF"/>
          </w:rPr>
          <w:t>Clique aqui.</w:t>
        </w:r>
      </w:hyperlink>
    </w:p>
    <w:p w14:paraId="47C19771" w14:textId="77777777" w:rsidR="00505CA3" w:rsidRDefault="00000000">
      <w:pPr>
        <w:spacing w:after="642"/>
        <w:ind w:left="2280"/>
      </w:pPr>
      <w:r>
        <w:rPr>
          <w:noProof/>
        </w:rPr>
        <mc:AlternateContent>
          <mc:Choice Requires="wpg">
            <w:drawing>
              <wp:inline distT="0" distB="0" distL="0" distR="0" wp14:anchorId="691AFADF" wp14:editId="4B171F78">
                <wp:extent cx="3683000" cy="12700"/>
                <wp:effectExtent l="0" t="0" r="0" b="0"/>
                <wp:docPr id="3782" name="Group 3782"/>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82"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14:paraId="68DBB246" w14:textId="77777777" w:rsidR="00505CA3" w:rsidRDefault="00000000">
      <w:pPr>
        <w:spacing w:after="182" w:line="251" w:lineRule="auto"/>
        <w:ind w:left="15" w:hanging="10"/>
        <w:jc w:val="both"/>
      </w:pPr>
      <w:r>
        <w:rPr>
          <w:rFonts w:ascii="Arial" w:eastAsia="Arial" w:hAnsi="Arial" w:cs="Arial"/>
          <w:b/>
          <w:sz w:val="20"/>
        </w:rPr>
        <w:t>PROCESSUAL. LICITAÇÃO E CONTRATOS. SECRETARIA DE ESTADO DE EDUCAÇÃO DO DISTRITO FEDERAL SEE/DF. CONSULTA. INADMISSIBILIDADE. PARECER TÉCNICO-JURÍDICO. AUSÊNCIA. ADMINISTRAÇÃO PÚBLICA DISTRITAL. ATA DE REGISTRO DE PREÇOS. ADMINISTRAÇÃO PÚBLICA MUNICIPAL. ADESÃO. IMPOSSIBILIDADE.</w:t>
      </w:r>
    </w:p>
    <w:p w14:paraId="4F531AAB" w14:textId="77777777" w:rsidR="00505CA3" w:rsidRDefault="00000000">
      <w:pPr>
        <w:spacing w:after="3" w:line="251" w:lineRule="auto"/>
        <w:ind w:left="15" w:right="7" w:hanging="10"/>
        <w:jc w:val="both"/>
      </w:pPr>
      <w:r>
        <w:rPr>
          <w:rFonts w:ascii="Arial" w:eastAsia="Arial" w:hAnsi="Arial" w:cs="Arial"/>
          <w:sz w:val="20"/>
        </w:rPr>
        <w:t>Consulta formulada pela Secretaria de Estado de Educação do Distrito Federal - SEE/DF sobre a possibilidade de adesão a ata de registro de preços gerenciada por órgão ou entidade municipal. O Tribunal deliberou por não conhecer da consulta em razão da inobservância de requisito estabelecido no artigo 264, §1º, do Regimento Interno do Tribunal de Contas do Distrito Federal, relativamente à exigência da apresentação do respectivo parecer técnico-jurídico. Entretanto, a corte decidiu  esclarecer à consulente e aos demais jurisdicionados, acerca da impossibilidade de adesão a atas de registro de preços gerenciadas por órgãos ou entidades municipais, tendo em conta o disposto no art. 86, §3º, inciso I, da</w:t>
      </w:r>
    </w:p>
    <w:p w14:paraId="4232F9E6" w14:textId="77777777" w:rsidR="00505CA3" w:rsidRDefault="00505CA3">
      <w:pPr>
        <w:sectPr w:rsidR="00505CA3">
          <w:headerReference w:type="even" r:id="rId12"/>
          <w:headerReference w:type="default" r:id="rId13"/>
          <w:footerReference w:type="even" r:id="rId14"/>
          <w:footerReference w:type="default" r:id="rId15"/>
          <w:headerReference w:type="first" r:id="rId16"/>
          <w:footerReference w:type="first" r:id="rId17"/>
          <w:pgSz w:w="11900" w:h="16840"/>
          <w:pgMar w:top="2999" w:right="357" w:bottom="1953" w:left="720" w:header="720" w:footer="720" w:gutter="0"/>
          <w:cols w:space="720"/>
        </w:sectPr>
      </w:pPr>
    </w:p>
    <w:p w14:paraId="38A9B5FC" w14:textId="77777777" w:rsidR="00505CA3" w:rsidRDefault="00000000">
      <w:pPr>
        <w:spacing w:after="361" w:line="251" w:lineRule="auto"/>
        <w:ind w:left="15" w:right="7" w:hanging="10"/>
        <w:jc w:val="both"/>
      </w:pPr>
      <w:r>
        <w:rPr>
          <w:rFonts w:ascii="Arial" w:eastAsia="Arial" w:hAnsi="Arial" w:cs="Arial"/>
          <w:sz w:val="20"/>
        </w:rPr>
        <w:t>Lei nº 14.133/2021.</w:t>
      </w:r>
    </w:p>
    <w:p w14:paraId="61B75EAF" w14:textId="77777777" w:rsidR="00505CA3" w:rsidRDefault="00000000">
      <w:pPr>
        <w:spacing w:after="58" w:line="251" w:lineRule="auto"/>
        <w:ind w:left="15" w:hanging="10"/>
        <w:jc w:val="both"/>
      </w:pPr>
      <w:r>
        <w:rPr>
          <w:rFonts w:ascii="Arial" w:eastAsia="Arial" w:hAnsi="Arial" w:cs="Arial"/>
          <w:b/>
          <w:sz w:val="20"/>
        </w:rPr>
        <w:t>Relator:</w:t>
      </w:r>
    </w:p>
    <w:p w14:paraId="52B84D1E" w14:textId="77777777" w:rsidR="00505CA3" w:rsidRDefault="00000000">
      <w:pPr>
        <w:spacing w:after="136" w:line="251" w:lineRule="auto"/>
        <w:ind w:left="15" w:hanging="10"/>
        <w:jc w:val="both"/>
      </w:pPr>
      <w:r>
        <w:rPr>
          <w:rFonts w:ascii="Arial" w:eastAsia="Arial" w:hAnsi="Arial" w:cs="Arial"/>
          <w:b/>
          <w:sz w:val="20"/>
        </w:rPr>
        <w:t>Paulo Tadeu Vale Da Silva</w:t>
      </w:r>
    </w:p>
    <w:p w14:paraId="0373672C" w14:textId="77777777" w:rsidR="00505CA3" w:rsidRDefault="00000000">
      <w:pPr>
        <w:spacing w:after="58" w:line="251" w:lineRule="auto"/>
        <w:ind w:left="15" w:hanging="10"/>
        <w:jc w:val="both"/>
      </w:pPr>
      <w:r>
        <w:rPr>
          <w:rFonts w:ascii="Arial" w:eastAsia="Arial" w:hAnsi="Arial" w:cs="Arial"/>
          <w:b/>
          <w:sz w:val="20"/>
        </w:rPr>
        <w:t>Decisão por unanimidade Sessão:</w:t>
      </w:r>
    </w:p>
    <w:p w14:paraId="7D49AC57" w14:textId="77777777" w:rsidR="00505CA3" w:rsidRDefault="00000000">
      <w:pPr>
        <w:spacing w:after="136" w:line="251" w:lineRule="auto"/>
        <w:ind w:left="15" w:hanging="10"/>
        <w:jc w:val="both"/>
      </w:pPr>
      <w:r>
        <w:rPr>
          <w:rFonts w:ascii="Arial" w:eastAsia="Arial" w:hAnsi="Arial" w:cs="Arial"/>
          <w:b/>
          <w:sz w:val="20"/>
        </w:rPr>
        <w:t>ORDINÁRIA nº 5375, de 10/04/2024.</w:t>
      </w:r>
    </w:p>
    <w:tbl>
      <w:tblPr>
        <w:tblStyle w:val="TableGrid"/>
        <w:tblpPr w:vertAnchor="text" w:horzAnchor="margin"/>
        <w:tblOverlap w:val="never"/>
        <w:tblW w:w="9348" w:type="dxa"/>
        <w:tblInd w:w="0" w:type="dxa"/>
        <w:tblCellMar>
          <w:top w:w="0" w:type="dxa"/>
          <w:left w:w="0" w:type="dxa"/>
          <w:bottom w:w="0" w:type="dxa"/>
          <w:right w:w="0" w:type="dxa"/>
        </w:tblCellMar>
        <w:tblLook w:val="04A0" w:firstRow="1" w:lastRow="0" w:firstColumn="1" w:lastColumn="0" w:noHBand="0" w:noVBand="1"/>
      </w:tblPr>
      <w:tblGrid>
        <w:gridCol w:w="9348"/>
      </w:tblGrid>
      <w:tr w:rsidR="00505CA3" w14:paraId="546A1934" w14:textId="77777777">
        <w:trPr>
          <w:trHeight w:val="3251"/>
        </w:trPr>
        <w:tc>
          <w:tcPr>
            <w:tcW w:w="10822" w:type="dxa"/>
            <w:tcBorders>
              <w:top w:val="nil"/>
              <w:left w:val="nil"/>
              <w:bottom w:val="nil"/>
              <w:right w:val="nil"/>
            </w:tcBorders>
          </w:tcPr>
          <w:p w14:paraId="0E659000" w14:textId="77777777" w:rsidR="00505CA3" w:rsidRDefault="00000000">
            <w:pPr>
              <w:spacing w:after="152"/>
              <w:ind w:left="620"/>
            </w:pPr>
            <w:r>
              <w:rPr>
                <w:rFonts w:ascii="Arial" w:eastAsia="Arial" w:hAnsi="Arial" w:cs="Arial"/>
                <w:b/>
                <w:sz w:val="20"/>
              </w:rPr>
              <w:lastRenderedPageBreak/>
              <w:t>Legislação relacionada:</w:t>
            </w:r>
          </w:p>
          <w:p w14:paraId="6952165B" w14:textId="77777777" w:rsidR="00505CA3" w:rsidRDefault="00000000">
            <w:pPr>
              <w:spacing w:after="172"/>
              <w:ind w:left="620"/>
            </w:pPr>
            <w:hyperlink r:id="rId18">
              <w:r>
                <w:rPr>
                  <w:rFonts w:ascii="Arial" w:eastAsia="Arial" w:hAnsi="Arial" w:cs="Arial"/>
                  <w:color w:val="2205FC"/>
                  <w:sz w:val="20"/>
                  <w:u w:val="single" w:color="2205FC"/>
                </w:rPr>
                <w:t>Resolução nº 296/2016, Art. 264.</w:t>
              </w:r>
            </w:hyperlink>
          </w:p>
          <w:p w14:paraId="0D309068" w14:textId="77777777" w:rsidR="00505CA3" w:rsidRDefault="00000000">
            <w:pPr>
              <w:spacing w:after="172"/>
              <w:ind w:left="620"/>
            </w:pPr>
            <w:hyperlink r:id="rId19">
              <w:r>
                <w:rPr>
                  <w:rFonts w:ascii="Arial" w:eastAsia="Arial" w:hAnsi="Arial" w:cs="Arial"/>
                  <w:color w:val="2205FC"/>
                  <w:sz w:val="20"/>
                  <w:u w:val="single" w:color="2205FC"/>
                </w:rPr>
                <w:t>Lei nº 14133/2021, Art. 86, § 3º, I.</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4C2B9014" w14:textId="77777777">
              <w:trPr>
                <w:trHeight w:val="400"/>
              </w:trPr>
              <w:tc>
                <w:tcPr>
                  <w:tcW w:w="500" w:type="dxa"/>
                  <w:tcBorders>
                    <w:top w:val="nil"/>
                    <w:left w:val="nil"/>
                    <w:bottom w:val="nil"/>
                    <w:right w:val="nil"/>
                  </w:tcBorders>
                  <w:shd w:val="clear" w:color="auto" w:fill="01447F"/>
                </w:tcPr>
                <w:p w14:paraId="1B20961D" w14:textId="77777777" w:rsidR="00505CA3" w:rsidRDefault="00000000">
                  <w:pPr>
                    <w:spacing w:after="0"/>
                  </w:pPr>
                  <w:r>
                    <w:rPr>
                      <w:rFonts w:ascii="Arial" w:eastAsia="Arial" w:hAnsi="Arial" w:cs="Arial"/>
                      <w:b/>
                      <w:color w:val="FFFFFF"/>
                      <w:sz w:val="28"/>
                    </w:rPr>
                    <w:t>2</w:t>
                  </w:r>
                </w:p>
              </w:tc>
            </w:tr>
          </w:tbl>
          <w:p w14:paraId="3E433C49" w14:textId="77777777" w:rsidR="00505CA3" w:rsidRDefault="00000000">
            <w:pPr>
              <w:spacing w:after="0" w:line="243" w:lineRule="auto"/>
              <w:ind w:left="620" w:right="-2093"/>
              <w:jc w:val="both"/>
            </w:pPr>
            <w:r>
              <w:rPr>
                <w:rFonts w:ascii="Arial" w:eastAsia="Arial" w:hAnsi="Arial" w:cs="Arial"/>
                <w:b/>
                <w:sz w:val="20"/>
              </w:rPr>
              <w:t>CONTAS. PROCESSUAL. FUNDAÇÃO DE APOIO À PESQUISA  FAP/DF. FUNDAÇÃO UNIVERSIDADE DE BRASÍLIA  FUB. TOMADA DE CONTAS ESPECIAL. CITAÇÃO. ALEGAÇÕES DE DEFESA. AUSÊNCIA.</w:t>
            </w:r>
          </w:p>
          <w:p w14:paraId="346CA160" w14:textId="77777777" w:rsidR="00505CA3" w:rsidRDefault="00000000">
            <w:pPr>
              <w:spacing w:after="429" w:line="243" w:lineRule="auto"/>
              <w:ind w:left="620" w:right="-2093"/>
              <w:jc w:val="both"/>
            </w:pPr>
            <w:r>
              <w:rPr>
                <w:rFonts w:ascii="Arial" w:eastAsia="Arial" w:hAnsi="Arial" w:cs="Arial"/>
                <w:b/>
                <w:sz w:val="20"/>
              </w:rPr>
              <w:t>IRREGULARIDADE DAS CONTAS. IMPUTAÇÃO DE DÉBITO. COBRANÇA JUDICIAL. ALEGAÇÃO DE PRESCRIÇÃO. INOCORRÊNCIA. VÍCIO DE CITAÇÃO. NULIDADE. REPETIÇÃO DOS ATOS PROCESSUAIS.</w:t>
            </w:r>
          </w:p>
          <w:p w14:paraId="4677A615" w14:textId="77777777" w:rsidR="00505CA3" w:rsidRDefault="00000000">
            <w:pPr>
              <w:numPr>
                <w:ilvl w:val="0"/>
                <w:numId w:val="2"/>
              </w:numPr>
              <w:spacing w:after="0" w:line="243" w:lineRule="auto"/>
              <w:ind w:right="-2052"/>
            </w:pPr>
            <w:r>
              <w:rPr>
                <w:rFonts w:ascii="Arial" w:eastAsia="Arial" w:hAnsi="Arial" w:cs="Arial"/>
                <w:sz w:val="20"/>
              </w:rPr>
              <w:t>A ambiguidade do texto do instrumento de mandato e a ausência de outorga clara e inequívoca do poder para recebercitação invalida a citação efetuada exclusivamente na pessoa do advogado constituído da parte.</w:t>
            </w:r>
          </w:p>
          <w:p w14:paraId="772B5508" w14:textId="77777777" w:rsidR="00505CA3" w:rsidRDefault="00000000">
            <w:pPr>
              <w:numPr>
                <w:ilvl w:val="0"/>
                <w:numId w:val="2"/>
              </w:numPr>
              <w:spacing w:after="0"/>
              <w:ind w:right="-2052"/>
            </w:pPr>
            <w:r>
              <w:rPr>
                <w:rFonts w:ascii="Arial" w:eastAsia="Arial" w:hAnsi="Arial" w:cs="Arial"/>
                <w:sz w:val="20"/>
              </w:rPr>
              <w:t>A nulidade de Decisão e Acórdão do TCDF decretada pelo TJDFT enseja a repetição dos atos processuais praticados.</w:t>
            </w:r>
          </w:p>
        </w:tc>
      </w:tr>
    </w:tbl>
    <w:p w14:paraId="0555BF21" w14:textId="77777777" w:rsidR="00505CA3" w:rsidRDefault="00000000">
      <w:pPr>
        <w:spacing w:after="47" w:line="265" w:lineRule="auto"/>
        <w:ind w:left="35" w:hanging="10"/>
      </w:pPr>
      <w:hyperlink r:id="rId20">
        <w:r>
          <w:rPr>
            <w:rFonts w:ascii="Arial" w:eastAsia="Arial" w:hAnsi="Arial" w:cs="Arial"/>
            <w:color w:val="2205FC"/>
            <w:sz w:val="20"/>
            <w:u w:val="single" w:color="2205FC"/>
          </w:rPr>
          <w:t xml:space="preserve">Proc. nº 684/2024 - Dec. nº 1178/2024 </w:t>
        </w:r>
      </w:hyperlink>
      <w:r>
        <w:rPr>
          <w:rFonts w:ascii="Arial" w:eastAsia="Arial" w:hAnsi="Arial" w:cs="Arial"/>
          <w:b/>
          <w:sz w:val="20"/>
        </w:rPr>
        <w:t>Relator:</w:t>
      </w:r>
    </w:p>
    <w:p w14:paraId="4592034B" w14:textId="77777777" w:rsidR="00505CA3" w:rsidRDefault="00000000">
      <w:pPr>
        <w:spacing w:after="136" w:line="251" w:lineRule="auto"/>
        <w:ind w:left="15" w:hanging="10"/>
        <w:jc w:val="both"/>
      </w:pPr>
      <w:r>
        <w:rPr>
          <w:rFonts w:ascii="Arial" w:eastAsia="Arial" w:hAnsi="Arial" w:cs="Arial"/>
          <w:b/>
          <w:sz w:val="20"/>
        </w:rPr>
        <w:t>Paulo Tadeu Vale Da Silva</w:t>
      </w:r>
    </w:p>
    <w:p w14:paraId="0D9537D4" w14:textId="77777777" w:rsidR="00505CA3" w:rsidRDefault="00000000">
      <w:pPr>
        <w:spacing w:after="136" w:line="251" w:lineRule="auto"/>
        <w:ind w:left="15" w:hanging="10"/>
        <w:jc w:val="both"/>
      </w:pPr>
      <w:r>
        <w:rPr>
          <w:rFonts w:ascii="Arial" w:eastAsia="Arial" w:hAnsi="Arial" w:cs="Arial"/>
          <w:b/>
          <w:sz w:val="20"/>
        </w:rPr>
        <w:t>Decisão por unanimidade</w:t>
      </w:r>
    </w:p>
    <w:p w14:paraId="308B82DA" w14:textId="77777777" w:rsidR="00505CA3" w:rsidRDefault="00000000">
      <w:pPr>
        <w:spacing w:after="58" w:line="251" w:lineRule="auto"/>
        <w:ind w:left="15" w:hanging="10"/>
        <w:jc w:val="both"/>
      </w:pPr>
      <w:r>
        <w:rPr>
          <w:rFonts w:ascii="Arial" w:eastAsia="Arial" w:hAnsi="Arial" w:cs="Arial"/>
          <w:b/>
          <w:sz w:val="20"/>
        </w:rPr>
        <w:t>Sessão:</w:t>
      </w:r>
    </w:p>
    <w:p w14:paraId="7327BFEE" w14:textId="77777777" w:rsidR="00505CA3" w:rsidRDefault="00000000">
      <w:pPr>
        <w:spacing w:after="136" w:line="251" w:lineRule="auto"/>
        <w:ind w:left="15" w:hanging="10"/>
        <w:jc w:val="both"/>
      </w:pPr>
      <w:r>
        <w:rPr>
          <w:rFonts w:ascii="Arial" w:eastAsia="Arial" w:hAnsi="Arial" w:cs="Arial"/>
          <w:b/>
          <w:sz w:val="20"/>
        </w:rPr>
        <w:t>ORDINÁRIA nº 5378, de 08/05/2024.</w:t>
      </w:r>
    </w:p>
    <w:tbl>
      <w:tblPr>
        <w:tblStyle w:val="TableGrid"/>
        <w:tblpPr w:vertAnchor="text" w:horzAnchor="margin" w:tblpY="680"/>
        <w:tblOverlap w:val="never"/>
        <w:tblW w:w="9348" w:type="dxa"/>
        <w:tblInd w:w="0" w:type="dxa"/>
        <w:tblCellMar>
          <w:top w:w="0" w:type="dxa"/>
          <w:left w:w="0" w:type="dxa"/>
          <w:bottom w:w="0" w:type="dxa"/>
          <w:right w:w="0" w:type="dxa"/>
        </w:tblCellMar>
        <w:tblLook w:val="04A0" w:firstRow="1" w:lastRow="0" w:firstColumn="1" w:lastColumn="0" w:noHBand="0" w:noVBand="1"/>
      </w:tblPr>
      <w:tblGrid>
        <w:gridCol w:w="9348"/>
      </w:tblGrid>
      <w:tr w:rsidR="00505CA3" w14:paraId="487AE54B" w14:textId="77777777">
        <w:trPr>
          <w:trHeight w:val="7156"/>
        </w:trPr>
        <w:tc>
          <w:tcPr>
            <w:tcW w:w="10823" w:type="dxa"/>
            <w:tcBorders>
              <w:top w:val="nil"/>
              <w:left w:val="nil"/>
              <w:bottom w:val="nil"/>
              <w:right w:val="nil"/>
            </w:tcBorders>
          </w:tcPr>
          <w:p w14:paraId="56FB0C63" w14:textId="77777777" w:rsidR="00505CA3" w:rsidRDefault="00000000">
            <w:pPr>
              <w:spacing w:after="152"/>
              <w:ind w:left="620"/>
            </w:pPr>
            <w:r>
              <w:rPr>
                <w:rFonts w:ascii="Arial" w:eastAsia="Arial" w:hAnsi="Arial" w:cs="Arial"/>
                <w:b/>
                <w:sz w:val="20"/>
              </w:rPr>
              <w:t>Legislação relacionada:</w:t>
            </w:r>
          </w:p>
          <w:p w14:paraId="781726C6" w14:textId="77777777" w:rsidR="00505CA3" w:rsidRDefault="00000000">
            <w:pPr>
              <w:spacing w:after="172"/>
              <w:ind w:left="620"/>
            </w:pPr>
            <w:hyperlink r:id="rId21">
              <w:r>
                <w:rPr>
                  <w:rFonts w:ascii="Arial" w:eastAsia="Arial" w:hAnsi="Arial" w:cs="Arial"/>
                  <w:color w:val="2205FC"/>
                  <w:sz w:val="20"/>
                  <w:u w:val="single" w:color="2205FC"/>
                </w:rPr>
                <w:t>Lei nº 13105/2015, Art. 105.</w:t>
              </w:r>
            </w:hyperlink>
          </w:p>
          <w:p w14:paraId="2B3780F4" w14:textId="77777777" w:rsidR="00505CA3" w:rsidRDefault="00000000">
            <w:pPr>
              <w:spacing w:after="172"/>
              <w:ind w:left="620"/>
            </w:pPr>
            <w:hyperlink r:id="rId22">
              <w:r>
                <w:rPr>
                  <w:rFonts w:ascii="Arial" w:eastAsia="Arial" w:hAnsi="Arial" w:cs="Arial"/>
                  <w:color w:val="2205FC"/>
                  <w:sz w:val="20"/>
                  <w:u w:val="single" w:color="2205FC"/>
                </w:rPr>
                <w:t>Lei Complementar nº 1/1994, Art. 13, II.</w:t>
              </w:r>
            </w:hyperlink>
          </w:p>
          <w:p w14:paraId="0B5AD068" w14:textId="77777777" w:rsidR="00505CA3" w:rsidRDefault="00000000">
            <w:pPr>
              <w:spacing w:after="172"/>
              <w:ind w:left="620"/>
            </w:pPr>
            <w:hyperlink r:id="rId23">
              <w:r>
                <w:rPr>
                  <w:rFonts w:ascii="Arial" w:eastAsia="Arial" w:hAnsi="Arial" w:cs="Arial"/>
                  <w:color w:val="2205FC"/>
                  <w:sz w:val="20"/>
                  <w:u w:val="single" w:color="2205FC"/>
                </w:rPr>
                <w:t>Resolução nº 296/2016, Art. 165.</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5060847F" w14:textId="77777777">
              <w:trPr>
                <w:trHeight w:val="400"/>
              </w:trPr>
              <w:tc>
                <w:tcPr>
                  <w:tcW w:w="500" w:type="dxa"/>
                  <w:tcBorders>
                    <w:top w:val="nil"/>
                    <w:left w:val="nil"/>
                    <w:bottom w:val="nil"/>
                    <w:right w:val="nil"/>
                  </w:tcBorders>
                  <w:shd w:val="clear" w:color="auto" w:fill="01447F"/>
                </w:tcPr>
                <w:p w14:paraId="35F9EF5D" w14:textId="77777777" w:rsidR="00505CA3" w:rsidRDefault="00000000">
                  <w:pPr>
                    <w:spacing w:after="0"/>
                  </w:pPr>
                  <w:r>
                    <w:rPr>
                      <w:rFonts w:ascii="Arial" w:eastAsia="Arial" w:hAnsi="Arial" w:cs="Arial"/>
                      <w:b/>
                      <w:color w:val="FFFFFF"/>
                      <w:sz w:val="28"/>
                    </w:rPr>
                    <w:t>3</w:t>
                  </w:r>
                </w:p>
              </w:tc>
            </w:tr>
          </w:tbl>
          <w:p w14:paraId="21C7E171" w14:textId="77777777" w:rsidR="00505CA3" w:rsidRDefault="00000000">
            <w:pPr>
              <w:spacing w:after="422" w:line="243" w:lineRule="auto"/>
              <w:ind w:left="620" w:right="-2095"/>
              <w:jc w:val="both"/>
            </w:pPr>
            <w:r>
              <w:rPr>
                <w:rFonts w:ascii="Arial" w:eastAsia="Arial" w:hAnsi="Arial" w:cs="Arial"/>
                <w:b/>
                <w:sz w:val="20"/>
              </w:rPr>
              <w:t>REPRESENTAÇÃO. SECRETARIA DE ESTADO DE DESENVOLVIMENTO SOCIAL -SEDES-DF. PRESCRIÇÃO. INTERRUPÇÃO. INÉRCIA. OCORRÊNCIA. PREJUDICIALIDADE. MÉRITO. INADIMPLEMENTO. REGISTRO. PROIBIÇÃO. TRANSFERÊNCIA DE RECURSOS. EXCEÇÃO. ARQUIVAMENTO.</w:t>
            </w:r>
          </w:p>
          <w:p w14:paraId="0C2075B5" w14:textId="77777777" w:rsidR="00505CA3" w:rsidRDefault="00000000">
            <w:pPr>
              <w:numPr>
                <w:ilvl w:val="0"/>
                <w:numId w:val="3"/>
              </w:numPr>
              <w:spacing w:after="0" w:line="243" w:lineRule="auto"/>
              <w:ind w:right="-2083"/>
            </w:pPr>
            <w:r>
              <w:rPr>
                <w:rFonts w:ascii="Arial" w:eastAsia="Arial" w:hAnsi="Arial" w:cs="Arial"/>
                <w:sz w:val="20"/>
              </w:rPr>
              <w:t>É exemplificativo o rol de atos que importam em apuração do fato previsto no art. 2º-A, da Decisão Normativa nº5/2021, para fins de reconhecimento como marco interruptivo do prazo prescricional.</w:t>
            </w:r>
          </w:p>
          <w:p w14:paraId="5450696F" w14:textId="77777777" w:rsidR="00505CA3" w:rsidRDefault="00000000">
            <w:pPr>
              <w:numPr>
                <w:ilvl w:val="0"/>
                <w:numId w:val="3"/>
              </w:numPr>
              <w:spacing w:after="0" w:line="243" w:lineRule="auto"/>
              <w:ind w:right="-2083"/>
            </w:pPr>
            <w:r>
              <w:rPr>
                <w:rFonts w:ascii="Arial" w:eastAsia="Arial" w:hAnsi="Arial" w:cs="Arial"/>
                <w:sz w:val="20"/>
              </w:rPr>
              <w:t>Para ser reconhecida como ato inequívoco que importe em apuração do fato, a ação ou manifestação deverepresentar inflexão com vista à análise ou à elucidação da matéria, capaz de fazer cessar a inércia administrativa. 3. Não constitui ato inequívoco que importe em apuração do fato a decisão plenária que se restrinja a renovar ou reiterar, ainda que com termos diversos, o conteúdo de deliberação anterior.</w:t>
            </w:r>
          </w:p>
          <w:p w14:paraId="2BE9A882" w14:textId="77777777" w:rsidR="00505CA3" w:rsidRDefault="00000000">
            <w:pPr>
              <w:numPr>
                <w:ilvl w:val="0"/>
                <w:numId w:val="4"/>
              </w:numPr>
              <w:spacing w:after="0" w:line="243" w:lineRule="auto"/>
              <w:ind w:right="-2072"/>
              <w:jc w:val="both"/>
            </w:pPr>
            <w:r>
              <w:rPr>
                <w:rFonts w:ascii="Arial" w:eastAsia="Arial" w:hAnsi="Arial" w:cs="Arial"/>
                <w:sz w:val="20"/>
              </w:rPr>
              <w:t>O reconhecimento da prejudicial de prescrição da pretensão ressarcitória importa em resolução de mérito do processo(art. 487, II, do Código de Processo Civil).</w:t>
            </w:r>
          </w:p>
          <w:p w14:paraId="3DF24D42" w14:textId="77777777" w:rsidR="00505CA3" w:rsidRDefault="00000000">
            <w:pPr>
              <w:numPr>
                <w:ilvl w:val="0"/>
                <w:numId w:val="4"/>
              </w:numPr>
              <w:spacing w:after="0" w:line="243" w:lineRule="auto"/>
              <w:ind w:right="-2072"/>
              <w:jc w:val="both"/>
            </w:pPr>
            <w:r>
              <w:rPr>
                <w:rFonts w:ascii="Arial" w:eastAsia="Arial" w:hAnsi="Arial" w:cs="Arial"/>
                <w:sz w:val="20"/>
              </w:rPr>
              <w:t>Em caso de registro de inadimplência no SIGGO de organização da sociedade civil com a qual tenha termo decolaboração ou congênere em execução, compete ao dirigente máximo do órgão avaliar se os serviços objeto da avença são essenciais e não podem ser adiados sem que se gere dano ao erário ou à população e, com base nesse juízo, autorizar o prosseguimento da transferência de recursos, com a exposição e evidenciação dos motivos de fato e de Direito, ou sustar a transferência de recursos, tomando as providências pertinentes para a continuidade dos serviços objeto do termo vigente por meio de outra entidade ou sob outra modalidade de prestação, conforme o caso, se reputados necessários (Lei Federal nº 13.019/2024, art. 39, IV, e § 1º; Instrução Normativa CGDF nº 1/2005; Decreto Distrital nº 37.843/2016, art. 71, § 4º, II).</w:t>
            </w:r>
          </w:p>
          <w:p w14:paraId="138AA223" w14:textId="77777777" w:rsidR="00505CA3" w:rsidRDefault="00000000">
            <w:pPr>
              <w:numPr>
                <w:ilvl w:val="0"/>
                <w:numId w:val="4"/>
              </w:numPr>
              <w:spacing w:after="0"/>
              <w:ind w:right="-2072"/>
              <w:jc w:val="both"/>
            </w:pPr>
            <w:r>
              <w:rPr>
                <w:rFonts w:ascii="Arial" w:eastAsia="Arial" w:hAnsi="Arial" w:cs="Arial"/>
                <w:sz w:val="20"/>
              </w:rPr>
              <w:t>O pedido de parcelamento para quitação de débito oriundo de termo de colaboração ou congênere constitui confissãoirretratável e irrevogável da dívida, a qual só pode ser afastada diante da evidenciação de que resultou de erro de fato ou de coação (Lei Complementar Distrital nº 833/2011, art. 14, c/c Código de Processo Civil, art. 393, caput).</w:t>
            </w:r>
          </w:p>
        </w:tc>
      </w:tr>
    </w:tbl>
    <w:p w14:paraId="2DBB3A26" w14:textId="77777777" w:rsidR="00505CA3" w:rsidRDefault="00000000">
      <w:pPr>
        <w:spacing w:after="0" w:line="265" w:lineRule="auto"/>
        <w:ind w:left="35" w:hanging="10"/>
      </w:pPr>
      <w:hyperlink r:id="rId24">
        <w:r>
          <w:rPr>
            <w:rFonts w:ascii="Arial" w:eastAsia="Arial" w:hAnsi="Arial" w:cs="Arial"/>
            <w:color w:val="2205FC"/>
            <w:sz w:val="20"/>
            <w:u w:val="single" w:color="2205FC"/>
          </w:rPr>
          <w:t>Proc. nº 19040/2018 - Dec. nº 1487/2024</w:t>
        </w:r>
      </w:hyperlink>
    </w:p>
    <w:p w14:paraId="02B29DB9" w14:textId="77777777" w:rsidR="00505CA3" w:rsidRDefault="00505CA3">
      <w:pPr>
        <w:sectPr w:rsidR="00505CA3">
          <w:type w:val="continuous"/>
          <w:pgSz w:w="11900" w:h="16840"/>
          <w:pgMar w:top="442" w:right="2452" w:bottom="1953" w:left="720" w:header="720" w:footer="720" w:gutter="0"/>
          <w:cols w:num="2" w:space="720" w:equalWidth="0">
            <w:col w:w="2555" w:space="2658"/>
            <w:col w:w="3515"/>
          </w:cols>
        </w:sectPr>
      </w:pPr>
    </w:p>
    <w:p w14:paraId="1959747D" w14:textId="77777777" w:rsidR="00505CA3" w:rsidRDefault="00000000">
      <w:pPr>
        <w:spacing w:after="58" w:line="251" w:lineRule="auto"/>
        <w:ind w:left="15" w:hanging="10"/>
        <w:jc w:val="both"/>
      </w:pPr>
      <w:r>
        <w:rPr>
          <w:rFonts w:ascii="Arial" w:eastAsia="Arial" w:hAnsi="Arial" w:cs="Arial"/>
          <w:b/>
          <w:sz w:val="20"/>
        </w:rPr>
        <w:t>Relator:</w:t>
      </w:r>
    </w:p>
    <w:p w14:paraId="17D68E52" w14:textId="77777777" w:rsidR="00505CA3" w:rsidRDefault="00000000">
      <w:pPr>
        <w:spacing w:after="136" w:line="251" w:lineRule="auto"/>
        <w:ind w:left="15" w:hanging="10"/>
        <w:jc w:val="both"/>
      </w:pPr>
      <w:r>
        <w:rPr>
          <w:rFonts w:ascii="Arial" w:eastAsia="Arial" w:hAnsi="Arial" w:cs="Arial"/>
          <w:b/>
          <w:sz w:val="20"/>
        </w:rPr>
        <w:t>Antonio Renato Alves Rainha</w:t>
      </w:r>
    </w:p>
    <w:p w14:paraId="1D1E9F08" w14:textId="77777777" w:rsidR="00505CA3" w:rsidRDefault="00000000">
      <w:pPr>
        <w:spacing w:after="136" w:line="251" w:lineRule="auto"/>
        <w:ind w:left="15" w:hanging="10"/>
        <w:jc w:val="both"/>
      </w:pPr>
      <w:r>
        <w:rPr>
          <w:rFonts w:ascii="Arial" w:eastAsia="Arial" w:hAnsi="Arial" w:cs="Arial"/>
          <w:b/>
          <w:sz w:val="20"/>
        </w:rPr>
        <w:t>Decisão por unanimidade</w:t>
      </w:r>
    </w:p>
    <w:p w14:paraId="3AC7B512" w14:textId="77777777" w:rsidR="00505CA3" w:rsidRDefault="00000000">
      <w:pPr>
        <w:spacing w:after="58" w:line="251" w:lineRule="auto"/>
        <w:ind w:left="15" w:hanging="10"/>
        <w:jc w:val="both"/>
      </w:pPr>
      <w:r>
        <w:rPr>
          <w:rFonts w:ascii="Arial" w:eastAsia="Arial" w:hAnsi="Arial" w:cs="Arial"/>
          <w:b/>
          <w:sz w:val="20"/>
        </w:rPr>
        <w:t>Sessão:</w:t>
      </w:r>
    </w:p>
    <w:p w14:paraId="1A7A521A" w14:textId="77777777" w:rsidR="00505CA3" w:rsidRDefault="00000000">
      <w:pPr>
        <w:spacing w:after="136" w:line="251" w:lineRule="auto"/>
        <w:ind w:left="15" w:hanging="10"/>
        <w:jc w:val="both"/>
      </w:pPr>
      <w:r>
        <w:rPr>
          <w:rFonts w:ascii="Arial" w:eastAsia="Arial" w:hAnsi="Arial" w:cs="Arial"/>
          <w:b/>
          <w:sz w:val="20"/>
        </w:rPr>
        <w:t>ORDINÁRIA nº 5378, de 08/05/2024.</w:t>
      </w:r>
    </w:p>
    <w:tbl>
      <w:tblPr>
        <w:tblStyle w:val="TableGrid"/>
        <w:tblpPr w:vertAnchor="text" w:horzAnchor="margin"/>
        <w:tblOverlap w:val="never"/>
        <w:tblW w:w="9237" w:type="dxa"/>
        <w:tblInd w:w="0" w:type="dxa"/>
        <w:tblCellMar>
          <w:top w:w="0" w:type="dxa"/>
          <w:left w:w="0" w:type="dxa"/>
          <w:bottom w:w="0" w:type="dxa"/>
          <w:right w:w="0" w:type="dxa"/>
        </w:tblCellMar>
        <w:tblLook w:val="04A0" w:firstRow="1" w:lastRow="0" w:firstColumn="1" w:lastColumn="0" w:noHBand="0" w:noVBand="1"/>
      </w:tblPr>
      <w:tblGrid>
        <w:gridCol w:w="9237"/>
      </w:tblGrid>
      <w:tr w:rsidR="00505CA3" w14:paraId="6C989C03" w14:textId="77777777">
        <w:trPr>
          <w:trHeight w:val="6406"/>
        </w:trPr>
        <w:tc>
          <w:tcPr>
            <w:tcW w:w="10802" w:type="dxa"/>
            <w:tcBorders>
              <w:top w:val="nil"/>
              <w:left w:val="nil"/>
              <w:bottom w:val="nil"/>
              <w:right w:val="nil"/>
            </w:tcBorders>
          </w:tcPr>
          <w:p w14:paraId="61AC6BC3" w14:textId="77777777" w:rsidR="00505CA3" w:rsidRDefault="00000000">
            <w:pPr>
              <w:spacing w:after="152"/>
              <w:ind w:left="620"/>
            </w:pPr>
            <w:r>
              <w:rPr>
                <w:rFonts w:ascii="Arial" w:eastAsia="Arial" w:hAnsi="Arial" w:cs="Arial"/>
                <w:b/>
                <w:sz w:val="20"/>
              </w:rPr>
              <w:lastRenderedPageBreak/>
              <w:t>Legislação relacionada:</w:t>
            </w:r>
          </w:p>
          <w:p w14:paraId="2EAEFA26" w14:textId="77777777" w:rsidR="00505CA3" w:rsidRDefault="00000000">
            <w:pPr>
              <w:spacing w:after="172"/>
              <w:ind w:left="620"/>
            </w:pPr>
            <w:hyperlink r:id="rId25">
              <w:r>
                <w:rPr>
                  <w:rFonts w:ascii="Arial" w:eastAsia="Arial" w:hAnsi="Arial" w:cs="Arial"/>
                  <w:color w:val="2205FC"/>
                  <w:sz w:val="20"/>
                  <w:u w:val="single" w:color="2205FC"/>
                </w:rPr>
                <w:t>Lei nº 13019/2014, Art. 39, § 1º.</w:t>
              </w:r>
            </w:hyperlink>
          </w:p>
          <w:p w14:paraId="09BF4346" w14:textId="77777777" w:rsidR="00505CA3" w:rsidRDefault="00000000">
            <w:pPr>
              <w:spacing w:after="172"/>
              <w:ind w:left="620"/>
            </w:pPr>
            <w:hyperlink r:id="rId26">
              <w:r>
                <w:rPr>
                  <w:rFonts w:ascii="Arial" w:eastAsia="Arial" w:hAnsi="Arial" w:cs="Arial"/>
                  <w:color w:val="2205FC"/>
                  <w:sz w:val="20"/>
                  <w:u w:val="single" w:color="2205FC"/>
                </w:rPr>
                <w:t>Instrução Normativa nº 1/2005, Art. 5º, § 1º, II.</w:t>
              </w:r>
            </w:hyperlink>
          </w:p>
          <w:p w14:paraId="09848224" w14:textId="77777777" w:rsidR="00505CA3" w:rsidRDefault="00000000">
            <w:pPr>
              <w:spacing w:after="172"/>
              <w:ind w:left="620"/>
            </w:pPr>
            <w:hyperlink r:id="rId27">
              <w:r>
                <w:rPr>
                  <w:rFonts w:ascii="Arial" w:eastAsia="Arial" w:hAnsi="Arial" w:cs="Arial"/>
                  <w:color w:val="2205FC"/>
                  <w:sz w:val="20"/>
                  <w:u w:val="single" w:color="2205FC"/>
                </w:rPr>
                <w:t>Decreto nº 37843/2016</w:t>
              </w:r>
            </w:hyperlink>
          </w:p>
          <w:p w14:paraId="3B814AE9" w14:textId="77777777" w:rsidR="00505CA3" w:rsidRDefault="00000000">
            <w:pPr>
              <w:spacing w:after="172"/>
              <w:ind w:left="620"/>
            </w:pPr>
            <w:hyperlink r:id="rId28">
              <w:r>
                <w:rPr>
                  <w:rFonts w:ascii="Arial" w:eastAsia="Arial" w:hAnsi="Arial" w:cs="Arial"/>
                  <w:color w:val="2205FC"/>
                  <w:sz w:val="20"/>
                  <w:u w:val="single" w:color="2205FC"/>
                </w:rPr>
                <w:t>Decisão normativa nº 5/2021.</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76350384" w14:textId="77777777">
              <w:trPr>
                <w:trHeight w:val="400"/>
              </w:trPr>
              <w:tc>
                <w:tcPr>
                  <w:tcW w:w="500" w:type="dxa"/>
                  <w:tcBorders>
                    <w:top w:val="nil"/>
                    <w:left w:val="nil"/>
                    <w:bottom w:val="nil"/>
                    <w:right w:val="nil"/>
                  </w:tcBorders>
                  <w:shd w:val="clear" w:color="auto" w:fill="01447F"/>
                </w:tcPr>
                <w:p w14:paraId="6A23B072" w14:textId="77777777" w:rsidR="00505CA3" w:rsidRDefault="00000000">
                  <w:pPr>
                    <w:spacing w:after="0"/>
                  </w:pPr>
                  <w:r>
                    <w:rPr>
                      <w:rFonts w:ascii="Arial" w:eastAsia="Arial" w:hAnsi="Arial" w:cs="Arial"/>
                      <w:b/>
                      <w:color w:val="FFFFFF"/>
                      <w:sz w:val="28"/>
                    </w:rPr>
                    <w:t>4</w:t>
                  </w:r>
                </w:p>
              </w:tc>
            </w:tr>
          </w:tbl>
          <w:p w14:paraId="6AD4D3B0" w14:textId="77777777" w:rsidR="00505CA3" w:rsidRDefault="00000000">
            <w:pPr>
              <w:spacing w:after="0" w:line="243" w:lineRule="auto"/>
              <w:ind w:left="620" w:right="-2183"/>
              <w:jc w:val="both"/>
            </w:pPr>
            <w:r>
              <w:rPr>
                <w:rFonts w:ascii="Arial" w:eastAsia="Arial" w:hAnsi="Arial" w:cs="Arial"/>
                <w:b/>
                <w:sz w:val="20"/>
              </w:rPr>
              <w:t>PROCESSUAL. CONTAS. SECRETARIA DE ESTADO DA AGRICULTURA, ABASTECIMENTO E DESENVOLVIMENTO RURAL DO DISTRITO FEDERAL. CONSULTA. INADMISSIBILIDADE. REQUISITOS DE</w:t>
            </w:r>
          </w:p>
          <w:p w14:paraId="01CA0725" w14:textId="77777777" w:rsidR="00505CA3" w:rsidRDefault="00000000">
            <w:pPr>
              <w:spacing w:after="416" w:line="243" w:lineRule="auto"/>
              <w:ind w:left="620" w:right="-2183"/>
              <w:jc w:val="both"/>
            </w:pPr>
            <w:r>
              <w:rPr>
                <w:rFonts w:ascii="Arial" w:eastAsia="Arial" w:hAnsi="Arial" w:cs="Arial"/>
                <w:b/>
                <w:sz w:val="20"/>
              </w:rPr>
              <w:t>ADMISSIBILIDADE. AUSÊNCIA. CONTROLE EXTERNO. ESCLARECIMENTOS. FUNÇÃO PEDAGÓGICA. SERVIÇO SOCIAL AUTÔNOMO. PARQUE GRANJA DO TORTO. PATRIMÔNIO PÚBLICO. EXPLORAÇÃO. PRESTAÇÃO DE CONTAS. NECESSIDADE. INSTRUÇÃO NORMATIVA TCDF N° 1/2022.</w:t>
            </w:r>
          </w:p>
          <w:p w14:paraId="3E80C1D3" w14:textId="77777777" w:rsidR="00505CA3" w:rsidRDefault="00000000">
            <w:pPr>
              <w:spacing w:after="0"/>
              <w:ind w:left="620" w:right="-2185"/>
              <w:jc w:val="both"/>
            </w:pPr>
            <w:r>
              <w:rPr>
                <w:rFonts w:ascii="Arial" w:eastAsia="Arial" w:hAnsi="Arial" w:cs="Arial"/>
                <w:sz w:val="20"/>
              </w:rPr>
              <w:t>Consulta proveniente da Seretaria de Estado da Agricultura, Abastecimento e Desenvolvimento Rural do Distrito Federal acerca da obrigação do Serviço Social Autônomo Parque Granja do Torto - PGT prestar contas relativamente a valores arrecadados com a exploração do patrimônio público. O Tribunal decidiu não conhecer da consulta por não preencher os requisitos de admissibilidade previstos no arts. 264, caput e parágrafo 1º e 265 do RI/TCDF, uma vez não versar sobre direito em tese, pois o questionamento submetido ao Tribunal referia-se a caso concreto; e, além disso, esclarecer à jurisdicionada que o dever de prestar contas por parte do Parque Granja do Torto - PGT abrange a totalidade dos recursos públicos repassados ou decorrentes da exploração do patrimônio público por essa entidade, desde o início de seu funcionamento, devendo-se observar, no tocante à apresentação das contas, o disposto na Instrução Normativa (IN) TCDF nº 01/2022, bem como considerar a totalidade dos recursos para realizar os cálculos previstos nos artigos 11 e 12 da referida IN, adotando providências imediatas para envio da prestação de contas da entidade em questão ao órgão central do sistema de controle interno, dentro do prazo estabelecido na referida norma, via Sistema de Contas Eletrônicas (e-Contas), nos moldes dos arts. 11 e 12 da referida IN.</w:t>
            </w:r>
          </w:p>
        </w:tc>
      </w:tr>
    </w:tbl>
    <w:p w14:paraId="35A60033" w14:textId="77777777" w:rsidR="00505CA3" w:rsidRDefault="00000000">
      <w:pPr>
        <w:spacing w:after="47" w:line="265" w:lineRule="auto"/>
        <w:ind w:left="35" w:hanging="10"/>
      </w:pPr>
      <w:hyperlink r:id="rId29">
        <w:r>
          <w:rPr>
            <w:rFonts w:ascii="Arial" w:eastAsia="Arial" w:hAnsi="Arial" w:cs="Arial"/>
            <w:color w:val="2205FC"/>
            <w:sz w:val="20"/>
            <w:u w:val="single" w:color="2205FC"/>
          </w:rPr>
          <w:t xml:space="preserve">Proc. nº 10654/2023 - Dec. nº 1574/2024 </w:t>
        </w:r>
      </w:hyperlink>
      <w:r>
        <w:rPr>
          <w:rFonts w:ascii="Arial" w:eastAsia="Arial" w:hAnsi="Arial" w:cs="Arial"/>
          <w:b/>
          <w:sz w:val="20"/>
        </w:rPr>
        <w:t>Relator:</w:t>
      </w:r>
    </w:p>
    <w:p w14:paraId="3C626797" w14:textId="77777777" w:rsidR="00505CA3" w:rsidRDefault="00000000">
      <w:pPr>
        <w:spacing w:after="136" w:line="251" w:lineRule="auto"/>
        <w:ind w:left="15" w:hanging="10"/>
        <w:jc w:val="both"/>
      </w:pPr>
      <w:r>
        <w:rPr>
          <w:rFonts w:ascii="Arial" w:eastAsia="Arial" w:hAnsi="Arial" w:cs="Arial"/>
          <w:b/>
          <w:sz w:val="20"/>
        </w:rPr>
        <w:t>Paulo Tadeu Vale Da Silva</w:t>
      </w:r>
    </w:p>
    <w:p w14:paraId="262CD523" w14:textId="77777777" w:rsidR="00505CA3" w:rsidRDefault="00000000">
      <w:pPr>
        <w:spacing w:after="136" w:line="251" w:lineRule="auto"/>
        <w:ind w:left="15" w:hanging="10"/>
        <w:jc w:val="both"/>
      </w:pPr>
      <w:r>
        <w:rPr>
          <w:rFonts w:ascii="Arial" w:eastAsia="Arial" w:hAnsi="Arial" w:cs="Arial"/>
          <w:b/>
          <w:sz w:val="20"/>
        </w:rPr>
        <w:t>Decisão por unanimidade</w:t>
      </w:r>
    </w:p>
    <w:p w14:paraId="20F96BEB" w14:textId="77777777" w:rsidR="00505CA3" w:rsidRDefault="00000000">
      <w:pPr>
        <w:spacing w:after="58" w:line="251" w:lineRule="auto"/>
        <w:ind w:left="15" w:hanging="10"/>
        <w:jc w:val="both"/>
      </w:pPr>
      <w:r>
        <w:rPr>
          <w:rFonts w:ascii="Arial" w:eastAsia="Arial" w:hAnsi="Arial" w:cs="Arial"/>
          <w:b/>
          <w:sz w:val="20"/>
        </w:rPr>
        <w:t>Sessão:</w:t>
      </w:r>
    </w:p>
    <w:p w14:paraId="1BADE5CC" w14:textId="77777777" w:rsidR="00505CA3" w:rsidRDefault="00000000">
      <w:pPr>
        <w:spacing w:after="132"/>
        <w:ind w:right="307"/>
        <w:jc w:val="center"/>
      </w:pPr>
      <w:r>
        <w:rPr>
          <w:rFonts w:ascii="Arial" w:eastAsia="Arial" w:hAnsi="Arial" w:cs="Arial"/>
          <w:b/>
          <w:sz w:val="20"/>
        </w:rPr>
        <w:t>ORDINÁRIA nº 5382, de 12/06/2024.</w:t>
      </w:r>
    </w:p>
    <w:p w14:paraId="79558B43" w14:textId="77777777" w:rsidR="00505CA3" w:rsidRDefault="00000000">
      <w:pPr>
        <w:spacing w:after="0"/>
        <w:ind w:right="111"/>
        <w:jc w:val="right"/>
      </w:pPr>
      <w:hyperlink r:id="rId30">
        <w:r>
          <w:rPr>
            <w:rFonts w:ascii="Arial" w:eastAsia="Arial" w:hAnsi="Arial" w:cs="Arial"/>
            <w:color w:val="2205FC"/>
            <w:sz w:val="20"/>
            <w:u w:val="single" w:color="2205FC"/>
          </w:rPr>
          <w:t>Proc. nº 2850/2024 - Dec. nº 2065/2024</w:t>
        </w:r>
      </w:hyperlink>
    </w:p>
    <w:p w14:paraId="61CC8678" w14:textId="77777777" w:rsidR="00505CA3" w:rsidRDefault="00505CA3">
      <w:pPr>
        <w:sectPr w:rsidR="00505CA3">
          <w:type w:val="continuous"/>
          <w:pgSz w:w="11900" w:h="16840"/>
          <w:pgMar w:top="442" w:right="2452" w:bottom="2013" w:left="720" w:header="720" w:footer="720" w:gutter="0"/>
          <w:cols w:num="2" w:space="720" w:equalWidth="0">
            <w:col w:w="2800" w:space="2280"/>
            <w:col w:w="3648"/>
          </w:cols>
        </w:sectPr>
      </w:pPr>
    </w:p>
    <w:p w14:paraId="7E4F909E" w14:textId="77777777" w:rsidR="00505CA3" w:rsidRDefault="00000000">
      <w:pPr>
        <w:spacing w:after="158" w:line="251" w:lineRule="auto"/>
        <w:ind w:left="15" w:hanging="10"/>
        <w:jc w:val="both"/>
      </w:pPr>
      <w:r>
        <w:rPr>
          <w:rFonts w:ascii="Arial" w:eastAsia="Arial" w:hAnsi="Arial" w:cs="Arial"/>
          <w:b/>
          <w:sz w:val="20"/>
        </w:rPr>
        <w:t>Legislação relacionada:</w:t>
      </w:r>
    </w:p>
    <w:p w14:paraId="4D6BF43C" w14:textId="77777777" w:rsidR="00505CA3" w:rsidRDefault="00000000">
      <w:pPr>
        <w:spacing w:after="167" w:line="265" w:lineRule="auto"/>
        <w:ind w:left="35" w:hanging="10"/>
      </w:pPr>
      <w:hyperlink r:id="rId31">
        <w:r>
          <w:rPr>
            <w:rFonts w:ascii="Arial" w:eastAsia="Arial" w:hAnsi="Arial" w:cs="Arial"/>
            <w:color w:val="2205FC"/>
            <w:sz w:val="20"/>
            <w:u w:val="single" w:color="2205FC"/>
          </w:rPr>
          <w:t>Resolução nº 296/2016, Art. 264, § 1º.</w:t>
        </w:r>
      </w:hyperlink>
    </w:p>
    <w:p w14:paraId="41857EEF" w14:textId="77777777" w:rsidR="00505CA3" w:rsidRDefault="00000000">
      <w:pPr>
        <w:spacing w:after="167" w:line="265" w:lineRule="auto"/>
        <w:ind w:left="35" w:hanging="10"/>
      </w:pPr>
      <w:hyperlink r:id="rId32">
        <w:r>
          <w:rPr>
            <w:rFonts w:ascii="Arial" w:eastAsia="Arial" w:hAnsi="Arial" w:cs="Arial"/>
            <w:color w:val="2205FC"/>
            <w:sz w:val="20"/>
            <w:u w:val="single" w:color="2205FC"/>
          </w:rPr>
          <w:t>Resolução nº 296/2016, Art. 265.</w:t>
        </w:r>
      </w:hyperlink>
    </w:p>
    <w:p w14:paraId="39636832" w14:textId="77777777" w:rsidR="00505CA3" w:rsidRDefault="00000000">
      <w:pPr>
        <w:spacing w:after="167" w:line="265" w:lineRule="auto"/>
        <w:ind w:left="35" w:hanging="10"/>
      </w:pPr>
      <w:hyperlink r:id="rId33">
        <w:r>
          <w:rPr>
            <w:rFonts w:ascii="Arial" w:eastAsia="Arial" w:hAnsi="Arial" w:cs="Arial"/>
            <w:color w:val="2205FC"/>
            <w:sz w:val="20"/>
            <w:u w:val="single" w:color="2205FC"/>
          </w:rPr>
          <w:t>Lei Complementar nº 1/1994, Art. 8º.</w:t>
        </w:r>
      </w:hyperlink>
    </w:p>
    <w:p w14:paraId="35A12A0B" w14:textId="77777777" w:rsidR="00505CA3" w:rsidRDefault="00000000">
      <w:pPr>
        <w:spacing w:after="167" w:line="265" w:lineRule="auto"/>
        <w:ind w:left="35" w:hanging="10"/>
      </w:pPr>
      <w:hyperlink r:id="rId34">
        <w:r>
          <w:rPr>
            <w:rFonts w:ascii="Arial" w:eastAsia="Arial" w:hAnsi="Arial" w:cs="Arial"/>
            <w:color w:val="2205FC"/>
            <w:sz w:val="20"/>
            <w:u w:val="single" w:color="2205FC"/>
          </w:rPr>
          <w:t>Instrução Normativa nº 1/2022, Art. 11, § 1º, III.</w:t>
        </w:r>
      </w:hyperlink>
    </w:p>
    <w:tbl>
      <w:tblPr>
        <w:tblStyle w:val="TableGrid"/>
        <w:tblpPr w:vertAnchor="page" w:horzAnchor="page" w:tblpX="100" w:tblpY="113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0491D803" w14:textId="77777777">
        <w:trPr>
          <w:trHeight w:val="400"/>
        </w:trPr>
        <w:tc>
          <w:tcPr>
            <w:tcW w:w="500" w:type="dxa"/>
            <w:tcBorders>
              <w:top w:val="nil"/>
              <w:left w:val="nil"/>
              <w:bottom w:val="nil"/>
              <w:right w:val="nil"/>
            </w:tcBorders>
            <w:shd w:val="clear" w:color="auto" w:fill="01447F"/>
          </w:tcPr>
          <w:p w14:paraId="02D6C6B6" w14:textId="77777777" w:rsidR="00505CA3" w:rsidRDefault="00000000">
            <w:pPr>
              <w:spacing w:after="0"/>
            </w:pPr>
            <w:r>
              <w:rPr>
                <w:rFonts w:ascii="Arial" w:eastAsia="Arial" w:hAnsi="Arial" w:cs="Arial"/>
                <w:b/>
                <w:color w:val="FFFFFF"/>
                <w:sz w:val="28"/>
              </w:rPr>
              <w:t>5</w:t>
            </w:r>
          </w:p>
        </w:tc>
      </w:tr>
    </w:tbl>
    <w:p w14:paraId="6A189ECA" w14:textId="77777777" w:rsidR="00505CA3" w:rsidRDefault="00000000">
      <w:pPr>
        <w:spacing w:after="167" w:line="265" w:lineRule="auto"/>
        <w:ind w:left="35" w:hanging="10"/>
      </w:pPr>
      <w:hyperlink r:id="rId35">
        <w:r>
          <w:rPr>
            <w:rFonts w:ascii="Arial" w:eastAsia="Arial" w:hAnsi="Arial" w:cs="Arial"/>
            <w:color w:val="2205FC"/>
            <w:sz w:val="20"/>
            <w:u w:val="single" w:color="2205FC"/>
          </w:rPr>
          <w:t>Instrução Normativa nº 1/2022, Art. 12.</w:t>
        </w:r>
      </w:hyperlink>
    </w:p>
    <w:p w14:paraId="4D90A8F4" w14:textId="77777777" w:rsidR="00505CA3" w:rsidRDefault="00000000">
      <w:pPr>
        <w:spacing w:after="422" w:line="251" w:lineRule="auto"/>
        <w:ind w:left="15" w:hanging="10"/>
        <w:jc w:val="both"/>
      </w:pPr>
      <w:r>
        <w:rPr>
          <w:rFonts w:ascii="Arial" w:eastAsia="Arial" w:hAnsi="Arial" w:cs="Arial"/>
          <w:b/>
          <w:sz w:val="20"/>
        </w:rPr>
        <w:t>PESSOAL. PROCESSUAL. POLÍCIA CIVIL DO DISTRITO FEDERAL - PCDF. REPRESENTAÇÃO. APOSENTADORIA ESPECIAL. SERVIDOR CEDIDO. TEMPO ESTRITAMENTE POLICIAL. IMPROCEDÊNCIA. PEDIDO DE REEXAME. DESPROVIMENTO. RECURSO DE REVISÃO. CONHECIMENTO. PROVIMENTO. UNIFORMIZAÇÃO DE JURISPRUDÊNCIA. PRINCÍPIO DA SEGURANÇA JURÍDICA.</w:t>
      </w:r>
    </w:p>
    <w:p w14:paraId="41AE73AE" w14:textId="77777777" w:rsidR="00505CA3" w:rsidRDefault="00000000">
      <w:pPr>
        <w:numPr>
          <w:ilvl w:val="0"/>
          <w:numId w:val="1"/>
        </w:numPr>
        <w:spacing w:after="3" w:line="251" w:lineRule="auto"/>
        <w:ind w:right="7" w:hanging="10"/>
        <w:jc w:val="both"/>
      </w:pPr>
      <w:r>
        <w:rPr>
          <w:rFonts w:ascii="Arial" w:eastAsia="Arial" w:hAnsi="Arial" w:cs="Arial"/>
          <w:sz w:val="20"/>
        </w:rPr>
        <w:t>A prolação de decisão ulterior da Corte que conflite diretamente com outra anteriormente proferida pode ensejar oconhecimento do apelo extremo, se não para se uniformizar a jurisprudência da Casa, para se fazer justiça no caso concreto, observado o princípio da segurança jurídica.</w:t>
      </w:r>
    </w:p>
    <w:p w14:paraId="5C98A849" w14:textId="77777777" w:rsidR="00505CA3" w:rsidRDefault="00000000">
      <w:pPr>
        <w:numPr>
          <w:ilvl w:val="0"/>
          <w:numId w:val="1"/>
        </w:numPr>
        <w:spacing w:after="409" w:line="251" w:lineRule="auto"/>
        <w:ind w:right="7" w:hanging="10"/>
        <w:jc w:val="both"/>
      </w:pPr>
      <w:r>
        <w:rPr>
          <w:rFonts w:ascii="Arial" w:eastAsia="Arial" w:hAnsi="Arial" w:cs="Arial"/>
          <w:sz w:val="20"/>
        </w:rPr>
        <w:t>Comprovada a similaridade das atividades efetivamente desenvolvidas pelo servidor policial na condição de cedido,com aquelas inerentes ao cargo de origem, o período de cessão poderá ser reconhecido como tempo especial para fins do disposto no art. 1º, inciso II, alínea a, da Lei Complementar federal n.º 51/85.</w:t>
      </w:r>
    </w:p>
    <w:tbl>
      <w:tblPr>
        <w:tblStyle w:val="TableGrid"/>
        <w:tblW w:w="8421" w:type="dxa"/>
        <w:tblInd w:w="20" w:type="dxa"/>
        <w:tblCellMar>
          <w:top w:w="0" w:type="dxa"/>
          <w:left w:w="0" w:type="dxa"/>
          <w:bottom w:w="0" w:type="dxa"/>
          <w:right w:w="0" w:type="dxa"/>
        </w:tblCellMar>
        <w:tblLook w:val="04A0" w:firstRow="1" w:lastRow="0" w:firstColumn="1" w:lastColumn="0" w:noHBand="0" w:noVBand="1"/>
      </w:tblPr>
      <w:tblGrid>
        <w:gridCol w:w="5080"/>
        <w:gridCol w:w="3341"/>
      </w:tblGrid>
      <w:tr w:rsidR="00505CA3" w14:paraId="021328E2" w14:textId="77777777">
        <w:trPr>
          <w:trHeight w:val="485"/>
        </w:trPr>
        <w:tc>
          <w:tcPr>
            <w:tcW w:w="5080" w:type="dxa"/>
            <w:tcBorders>
              <w:top w:val="nil"/>
              <w:left w:val="nil"/>
              <w:bottom w:val="nil"/>
              <w:right w:val="nil"/>
            </w:tcBorders>
          </w:tcPr>
          <w:p w14:paraId="677CDCB2" w14:textId="77777777" w:rsidR="00505CA3" w:rsidRDefault="00000000">
            <w:pPr>
              <w:spacing w:after="52"/>
            </w:pPr>
            <w:r>
              <w:rPr>
                <w:rFonts w:ascii="Arial" w:eastAsia="Arial" w:hAnsi="Arial" w:cs="Arial"/>
                <w:b/>
                <w:sz w:val="20"/>
              </w:rPr>
              <w:lastRenderedPageBreak/>
              <w:t>Relator:</w:t>
            </w:r>
          </w:p>
          <w:p w14:paraId="3C2B933F" w14:textId="77777777" w:rsidR="00505CA3" w:rsidRDefault="00000000">
            <w:pPr>
              <w:spacing w:after="0"/>
            </w:pPr>
            <w:r>
              <w:rPr>
                <w:rFonts w:ascii="Arial" w:eastAsia="Arial" w:hAnsi="Arial" w:cs="Arial"/>
                <w:b/>
                <w:sz w:val="20"/>
              </w:rPr>
              <w:t>André Clemente Lara De Oliveira</w:t>
            </w:r>
          </w:p>
        </w:tc>
        <w:tc>
          <w:tcPr>
            <w:tcW w:w="3341" w:type="dxa"/>
            <w:tcBorders>
              <w:top w:val="nil"/>
              <w:left w:val="nil"/>
              <w:bottom w:val="nil"/>
              <w:right w:val="nil"/>
            </w:tcBorders>
          </w:tcPr>
          <w:p w14:paraId="6EBCB804" w14:textId="77777777" w:rsidR="00505CA3" w:rsidRDefault="00000000">
            <w:pPr>
              <w:spacing w:after="52"/>
            </w:pPr>
            <w:r>
              <w:rPr>
                <w:rFonts w:ascii="Arial" w:eastAsia="Arial" w:hAnsi="Arial" w:cs="Arial"/>
                <w:b/>
                <w:sz w:val="20"/>
              </w:rPr>
              <w:t>Sessão:</w:t>
            </w:r>
          </w:p>
          <w:p w14:paraId="58EC7361" w14:textId="77777777" w:rsidR="00505CA3" w:rsidRDefault="00000000">
            <w:pPr>
              <w:spacing w:after="0"/>
              <w:jc w:val="both"/>
            </w:pPr>
            <w:r>
              <w:rPr>
                <w:rFonts w:ascii="Arial" w:eastAsia="Arial" w:hAnsi="Arial" w:cs="Arial"/>
                <w:b/>
                <w:sz w:val="20"/>
              </w:rPr>
              <w:t>ORDINÁRIA nº 5369, de 21/02/2024.</w:t>
            </w:r>
          </w:p>
        </w:tc>
      </w:tr>
    </w:tbl>
    <w:p w14:paraId="34141502" w14:textId="77777777" w:rsidR="00505CA3" w:rsidRDefault="00000000">
      <w:pPr>
        <w:spacing w:after="136" w:line="251" w:lineRule="auto"/>
        <w:ind w:left="15" w:hanging="10"/>
        <w:jc w:val="both"/>
      </w:pPr>
      <w:r>
        <w:rPr>
          <w:rFonts w:ascii="Arial" w:eastAsia="Arial" w:hAnsi="Arial" w:cs="Arial"/>
          <w:b/>
          <w:sz w:val="20"/>
        </w:rPr>
        <w:t>Decisão por desempate</w:t>
      </w:r>
    </w:p>
    <w:p w14:paraId="0176BC55" w14:textId="77777777" w:rsidR="00505CA3" w:rsidRDefault="00000000">
      <w:pPr>
        <w:spacing w:after="252"/>
        <w:ind w:left="2895"/>
        <w:jc w:val="center"/>
      </w:pPr>
      <w:hyperlink r:id="rId36">
        <w:r>
          <w:rPr>
            <w:rFonts w:ascii="Arial" w:eastAsia="Arial" w:hAnsi="Arial" w:cs="Arial"/>
            <w:color w:val="2205FC"/>
            <w:sz w:val="20"/>
            <w:u w:val="single" w:color="2205FC"/>
          </w:rPr>
          <w:t>Proc. nº 19931/2019 - Dec. nº 429/2024</w:t>
        </w:r>
      </w:hyperlink>
    </w:p>
    <w:p w14:paraId="4323C1C0" w14:textId="77777777" w:rsidR="00505CA3" w:rsidRDefault="00000000">
      <w:pPr>
        <w:spacing w:after="158" w:line="251" w:lineRule="auto"/>
        <w:ind w:left="15" w:hanging="10"/>
        <w:jc w:val="both"/>
      </w:pPr>
      <w:r>
        <w:rPr>
          <w:rFonts w:ascii="Arial" w:eastAsia="Arial" w:hAnsi="Arial" w:cs="Arial"/>
          <w:b/>
          <w:sz w:val="20"/>
        </w:rPr>
        <w:t>Decisões relacionadas:</w:t>
      </w:r>
    </w:p>
    <w:p w14:paraId="4DCCB76B" w14:textId="77777777" w:rsidR="00505CA3" w:rsidRDefault="00000000">
      <w:pPr>
        <w:spacing w:after="167" w:line="265" w:lineRule="auto"/>
        <w:ind w:left="35" w:hanging="10"/>
      </w:pPr>
      <w:hyperlink r:id="rId37">
        <w:r>
          <w:rPr>
            <w:rFonts w:ascii="Arial" w:eastAsia="Arial" w:hAnsi="Arial" w:cs="Arial"/>
            <w:color w:val="2205FC"/>
            <w:sz w:val="20"/>
            <w:u w:val="single" w:color="2205FC"/>
          </w:rPr>
          <w:t>TCDF: Decisão nº 709/2020</w:t>
        </w:r>
      </w:hyperlink>
    </w:p>
    <w:p w14:paraId="41A572EA" w14:textId="77777777" w:rsidR="00505CA3" w:rsidRDefault="00000000">
      <w:pPr>
        <w:spacing w:after="327" w:line="265" w:lineRule="auto"/>
        <w:ind w:left="35" w:hanging="10"/>
      </w:pPr>
      <w:hyperlink r:id="rId38">
        <w:r>
          <w:rPr>
            <w:rFonts w:ascii="Arial" w:eastAsia="Arial" w:hAnsi="Arial" w:cs="Arial"/>
            <w:color w:val="2205FC"/>
            <w:sz w:val="20"/>
            <w:u w:val="single" w:color="2205FC"/>
          </w:rPr>
          <w:t>TCDF: Decisão nº 284/2021</w:t>
        </w:r>
      </w:hyperlink>
    </w:p>
    <w:p w14:paraId="03365C32" w14:textId="77777777" w:rsidR="00505CA3" w:rsidRDefault="00000000">
      <w:pPr>
        <w:spacing w:after="158" w:line="251" w:lineRule="auto"/>
        <w:ind w:left="15" w:hanging="10"/>
        <w:jc w:val="both"/>
      </w:pPr>
      <w:r>
        <w:rPr>
          <w:rFonts w:ascii="Arial" w:eastAsia="Arial" w:hAnsi="Arial" w:cs="Arial"/>
          <w:b/>
          <w:sz w:val="20"/>
        </w:rPr>
        <w:t>Legislação relacionada:</w:t>
      </w:r>
    </w:p>
    <w:p w14:paraId="577B8DD4" w14:textId="77777777" w:rsidR="00505CA3" w:rsidRDefault="00000000">
      <w:pPr>
        <w:spacing w:after="167" w:line="265" w:lineRule="auto"/>
        <w:ind w:left="35" w:hanging="10"/>
      </w:pPr>
      <w:hyperlink r:id="rId39">
        <w:r>
          <w:rPr>
            <w:rFonts w:ascii="Arial" w:eastAsia="Arial" w:hAnsi="Arial" w:cs="Arial"/>
            <w:color w:val="2205FC"/>
            <w:sz w:val="20"/>
            <w:u w:val="single" w:color="2205FC"/>
          </w:rPr>
          <w:t>Resolução nº 296/2016, Art. 288.</w:t>
        </w:r>
      </w:hyperlink>
    </w:p>
    <w:p w14:paraId="39FCE98A" w14:textId="77777777" w:rsidR="00505CA3" w:rsidRDefault="00000000">
      <w:pPr>
        <w:spacing w:after="167" w:line="265" w:lineRule="auto"/>
        <w:ind w:left="35" w:hanging="10"/>
      </w:pPr>
      <w:hyperlink r:id="rId40">
        <w:r>
          <w:rPr>
            <w:rFonts w:ascii="Arial" w:eastAsia="Arial" w:hAnsi="Arial" w:cs="Arial"/>
            <w:color w:val="2205FC"/>
            <w:sz w:val="20"/>
            <w:u w:val="single" w:color="2205FC"/>
          </w:rPr>
          <w:t>Lei Complementar nº 51/1985, Art. 1º, II, a.</w:t>
        </w:r>
      </w:hyperlink>
    </w:p>
    <w:p w14:paraId="369836B7" w14:textId="77777777" w:rsidR="00505CA3" w:rsidRDefault="00000000">
      <w:pPr>
        <w:spacing w:after="167" w:line="265" w:lineRule="auto"/>
        <w:ind w:left="35" w:hanging="10"/>
      </w:pPr>
      <w:hyperlink r:id="rId41">
        <w:r>
          <w:rPr>
            <w:rFonts w:ascii="Arial" w:eastAsia="Arial" w:hAnsi="Arial" w:cs="Arial"/>
            <w:color w:val="2205FC"/>
            <w:sz w:val="20"/>
            <w:u w:val="single" w:color="2205FC"/>
          </w:rPr>
          <w:t>Lei nº 13690/2018.</w:t>
        </w:r>
      </w:hyperlink>
    </w:p>
    <w:p w14:paraId="0877CD52" w14:textId="77777777" w:rsidR="00505CA3" w:rsidRDefault="00000000">
      <w:pPr>
        <w:spacing w:after="167" w:line="265" w:lineRule="auto"/>
        <w:ind w:left="35" w:hanging="10"/>
      </w:pPr>
      <w:hyperlink r:id="rId42">
        <w:r>
          <w:rPr>
            <w:rFonts w:ascii="Arial" w:eastAsia="Arial" w:hAnsi="Arial" w:cs="Arial"/>
            <w:color w:val="2205FC"/>
            <w:sz w:val="20"/>
            <w:u w:val="single" w:color="2205FC"/>
          </w:rPr>
          <w:t>Lei nº 9264/1996, Art. 12.</w:t>
        </w:r>
      </w:hyperlink>
    </w:p>
    <w:p w14:paraId="770C7729" w14:textId="77777777" w:rsidR="00505CA3" w:rsidRDefault="00000000">
      <w:pPr>
        <w:spacing w:after="0" w:line="251" w:lineRule="auto"/>
        <w:ind w:left="15" w:hanging="10"/>
        <w:jc w:val="both"/>
      </w:pPr>
      <w:r>
        <w:rPr>
          <w:rFonts w:ascii="Arial" w:eastAsia="Arial" w:hAnsi="Arial" w:cs="Arial"/>
          <w:b/>
          <w:sz w:val="20"/>
        </w:rPr>
        <w:t>PROCESSUAL. TRIBUNAL DE CONTAS DO DISTRITO FEDERAL - TCDF. ESTUDOS ESPECIAIS. PRESCRIÇÃO. DECISÃO NORMATIVA N.º 5/2021. ALTERAÇÃO. PRESCRIÇÃO INTERCORRENTE. DECISÃO NORMATIVA N.°</w:t>
      </w:r>
    </w:p>
    <w:p w14:paraId="34445ED3" w14:textId="77777777" w:rsidR="00505CA3" w:rsidRDefault="00000000">
      <w:pPr>
        <w:spacing w:after="173" w:line="251" w:lineRule="auto"/>
        <w:ind w:left="15" w:hanging="10"/>
        <w:jc w:val="both"/>
      </w:pPr>
      <w:r>
        <w:rPr>
          <w:rFonts w:ascii="Arial" w:eastAsia="Arial" w:hAnsi="Arial" w:cs="Arial"/>
          <w:b/>
          <w:sz w:val="20"/>
        </w:rPr>
        <w:t>1/2024.</w:t>
      </w:r>
    </w:p>
    <w:tbl>
      <w:tblPr>
        <w:tblStyle w:val="TableGrid"/>
        <w:tblpPr w:vertAnchor="page" w:horzAnchor="page" w:tblpX="100" w:tblpY="43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505CA3" w14:paraId="37762D1B" w14:textId="77777777">
        <w:trPr>
          <w:trHeight w:val="400"/>
        </w:trPr>
        <w:tc>
          <w:tcPr>
            <w:tcW w:w="500" w:type="dxa"/>
            <w:tcBorders>
              <w:top w:val="nil"/>
              <w:left w:val="nil"/>
              <w:bottom w:val="nil"/>
              <w:right w:val="nil"/>
            </w:tcBorders>
            <w:shd w:val="clear" w:color="auto" w:fill="01447F"/>
          </w:tcPr>
          <w:p w14:paraId="3DF6931A" w14:textId="77777777" w:rsidR="00505CA3" w:rsidRDefault="00000000">
            <w:pPr>
              <w:spacing w:after="0"/>
            </w:pPr>
            <w:r>
              <w:rPr>
                <w:rFonts w:ascii="Arial" w:eastAsia="Arial" w:hAnsi="Arial" w:cs="Arial"/>
                <w:b/>
                <w:color w:val="FFFFFF"/>
                <w:sz w:val="28"/>
              </w:rPr>
              <w:t>6</w:t>
            </w:r>
          </w:p>
        </w:tc>
      </w:tr>
    </w:tbl>
    <w:p w14:paraId="4BAD246C" w14:textId="77777777" w:rsidR="00505CA3" w:rsidRDefault="00000000">
      <w:pPr>
        <w:spacing w:after="172" w:line="251" w:lineRule="auto"/>
        <w:ind w:left="15" w:right="7" w:hanging="10"/>
        <w:jc w:val="both"/>
      </w:pPr>
      <w:r>
        <w:rPr>
          <w:rFonts w:ascii="Arial" w:eastAsia="Arial" w:hAnsi="Arial" w:cs="Arial"/>
          <w:sz w:val="20"/>
        </w:rPr>
        <w:t>Estudos Especiais com o propósito de avaliar a necessidade de revisão da Decisão Normativa TCDF n.º 5/2021, que dispõe sobre a prescrição das pretensões punitiva e de ressarcimento ao erário no âmbito do TCDF, mormente quanto à previsibilidade de incidência da prescrição intercorrente, de que trata o art. 1º, § 1º, da Lei Federal n.º 9.873/1999. O Tribunal decidiu aprovar o projeto de decisão normativa que altera a Decisão Normativa n.º 5/2021, (Decisão Normativa n.° 1/2024, publicada no DODF nº 66, de 08 de abril de 2024) e dar ciência do teor da norma aprovada aos órgãos e entidades integrantes do Complexo Administrativo do Distrito Federal, esclarecendo que a Decisão Normativa n.º 5/2021 é de aplicação interna pelo TCDF no curso dos processos de controle externo, e que os seus parâmetros podem ser utilizados pelos jurisdicionados desta Corte para identificar os processos administrativos sujeitos à prescrição iminente e priorizar sua respectiva análise. Além disso, o Tribunal determinou o envio dos autos à Diplan/TCDF para homogeneização do texto, consoante disposto na Portaria n.º 95/1998-TCDF e no art. 26, inciso VII, da Resolução n.º 273/2014-TCDF, com posterior remessa do feito à Presidência desta Corte para a expedição do normativo correspondente, nos termos do art. 16, inciso L, do RI/TCDF.</w:t>
      </w:r>
    </w:p>
    <w:tbl>
      <w:tblPr>
        <w:tblStyle w:val="TableGrid"/>
        <w:tblW w:w="8506" w:type="dxa"/>
        <w:tblInd w:w="20" w:type="dxa"/>
        <w:tblCellMar>
          <w:top w:w="0" w:type="dxa"/>
          <w:left w:w="0" w:type="dxa"/>
          <w:bottom w:w="0" w:type="dxa"/>
          <w:right w:w="0" w:type="dxa"/>
        </w:tblCellMar>
        <w:tblLook w:val="04A0" w:firstRow="1" w:lastRow="0" w:firstColumn="1" w:lastColumn="0" w:noHBand="0" w:noVBand="1"/>
      </w:tblPr>
      <w:tblGrid>
        <w:gridCol w:w="5080"/>
        <w:gridCol w:w="3426"/>
      </w:tblGrid>
      <w:tr w:rsidR="00505CA3" w14:paraId="4F0D1FF0" w14:textId="77777777">
        <w:trPr>
          <w:trHeight w:val="865"/>
        </w:trPr>
        <w:tc>
          <w:tcPr>
            <w:tcW w:w="5080" w:type="dxa"/>
            <w:tcBorders>
              <w:top w:val="nil"/>
              <w:left w:val="nil"/>
              <w:bottom w:val="nil"/>
              <w:right w:val="nil"/>
            </w:tcBorders>
          </w:tcPr>
          <w:p w14:paraId="4C5B253D" w14:textId="77777777" w:rsidR="00505CA3" w:rsidRDefault="00000000">
            <w:pPr>
              <w:spacing w:after="52"/>
            </w:pPr>
            <w:r>
              <w:rPr>
                <w:rFonts w:ascii="Arial" w:eastAsia="Arial" w:hAnsi="Arial" w:cs="Arial"/>
                <w:b/>
                <w:sz w:val="20"/>
              </w:rPr>
              <w:t>Relator:</w:t>
            </w:r>
          </w:p>
          <w:p w14:paraId="5FB0857A" w14:textId="77777777" w:rsidR="00505CA3" w:rsidRDefault="00000000">
            <w:pPr>
              <w:spacing w:after="132"/>
            </w:pPr>
            <w:r>
              <w:rPr>
                <w:rFonts w:ascii="Arial" w:eastAsia="Arial" w:hAnsi="Arial" w:cs="Arial"/>
                <w:b/>
                <w:sz w:val="20"/>
              </w:rPr>
              <w:t>Inácio Magalhães Filho</w:t>
            </w:r>
          </w:p>
          <w:p w14:paraId="11FD7DE1" w14:textId="77777777" w:rsidR="00505CA3" w:rsidRDefault="00000000">
            <w:pPr>
              <w:spacing w:after="0"/>
            </w:pPr>
            <w:r>
              <w:rPr>
                <w:rFonts w:ascii="Arial" w:eastAsia="Arial" w:hAnsi="Arial" w:cs="Arial"/>
                <w:b/>
                <w:sz w:val="20"/>
              </w:rPr>
              <w:t>Decisão por maioria</w:t>
            </w:r>
          </w:p>
        </w:tc>
        <w:tc>
          <w:tcPr>
            <w:tcW w:w="3426" w:type="dxa"/>
            <w:tcBorders>
              <w:top w:val="nil"/>
              <w:left w:val="nil"/>
              <w:bottom w:val="nil"/>
              <w:right w:val="nil"/>
            </w:tcBorders>
          </w:tcPr>
          <w:p w14:paraId="44D2CB13" w14:textId="77777777" w:rsidR="00505CA3" w:rsidRDefault="00000000">
            <w:pPr>
              <w:spacing w:after="52"/>
            </w:pPr>
            <w:r>
              <w:rPr>
                <w:rFonts w:ascii="Arial" w:eastAsia="Arial" w:hAnsi="Arial" w:cs="Arial"/>
                <w:b/>
                <w:sz w:val="20"/>
              </w:rPr>
              <w:t>Sessão:</w:t>
            </w:r>
          </w:p>
          <w:p w14:paraId="65C5636E" w14:textId="77777777" w:rsidR="00505CA3" w:rsidRDefault="00000000">
            <w:pPr>
              <w:spacing w:after="132"/>
              <w:jc w:val="both"/>
            </w:pPr>
            <w:r>
              <w:rPr>
                <w:rFonts w:ascii="Arial" w:eastAsia="Arial" w:hAnsi="Arial" w:cs="Arial"/>
                <w:b/>
                <w:sz w:val="20"/>
              </w:rPr>
              <w:t>ORDINÁRIA nº 5373, de 20/03/2024.</w:t>
            </w:r>
          </w:p>
          <w:p w14:paraId="60845065" w14:textId="77777777" w:rsidR="00505CA3" w:rsidRDefault="00000000">
            <w:pPr>
              <w:spacing w:after="0"/>
              <w:jc w:val="both"/>
            </w:pPr>
            <w:hyperlink r:id="rId43">
              <w:r>
                <w:rPr>
                  <w:rFonts w:ascii="Arial" w:eastAsia="Arial" w:hAnsi="Arial" w:cs="Arial"/>
                  <w:color w:val="2205FC"/>
                  <w:sz w:val="20"/>
                  <w:u w:val="single" w:color="2205FC"/>
                </w:rPr>
                <w:t>Proc. nº 3242/2023 - Dec. nº 925/2024</w:t>
              </w:r>
            </w:hyperlink>
          </w:p>
        </w:tc>
      </w:tr>
    </w:tbl>
    <w:p w14:paraId="458F0D95" w14:textId="77777777" w:rsidR="00505CA3" w:rsidRDefault="00000000">
      <w:pPr>
        <w:spacing w:after="158" w:line="251" w:lineRule="auto"/>
        <w:ind w:left="15" w:hanging="10"/>
        <w:jc w:val="both"/>
      </w:pPr>
      <w:r>
        <w:rPr>
          <w:rFonts w:ascii="Arial" w:eastAsia="Arial" w:hAnsi="Arial" w:cs="Arial"/>
          <w:b/>
          <w:sz w:val="20"/>
        </w:rPr>
        <w:t>Legislação relacionada:</w:t>
      </w:r>
    </w:p>
    <w:p w14:paraId="1C08ED57" w14:textId="77777777" w:rsidR="00505CA3" w:rsidRDefault="00000000">
      <w:pPr>
        <w:spacing w:after="167" w:line="265" w:lineRule="auto"/>
        <w:ind w:left="35" w:hanging="10"/>
      </w:pPr>
      <w:hyperlink r:id="rId44">
        <w:r>
          <w:rPr>
            <w:rFonts w:ascii="Arial" w:eastAsia="Arial" w:hAnsi="Arial" w:cs="Arial"/>
            <w:color w:val="2205FC"/>
            <w:sz w:val="20"/>
            <w:u w:val="single" w:color="2205FC"/>
          </w:rPr>
          <w:t>Decisão normativa nº 5/2021</w:t>
        </w:r>
      </w:hyperlink>
    </w:p>
    <w:p w14:paraId="1D85DEC6" w14:textId="77777777" w:rsidR="00505CA3" w:rsidRDefault="00000000">
      <w:pPr>
        <w:spacing w:after="40" w:line="265" w:lineRule="auto"/>
        <w:ind w:left="35" w:hanging="10"/>
      </w:pPr>
      <w:hyperlink r:id="rId45">
        <w:r>
          <w:rPr>
            <w:rFonts w:ascii="Arial" w:eastAsia="Arial" w:hAnsi="Arial" w:cs="Arial"/>
            <w:color w:val="2205FC"/>
            <w:sz w:val="20"/>
            <w:u w:val="single" w:color="2205FC"/>
          </w:rPr>
          <w:t>Lei nº 9873/1999, Art. 1º, § 1º.</w:t>
        </w:r>
      </w:hyperlink>
    </w:p>
    <w:p w14:paraId="33C0264D" w14:textId="77777777" w:rsidR="00505CA3" w:rsidRDefault="00000000">
      <w:pPr>
        <w:spacing w:after="470"/>
        <w:ind w:left="300"/>
      </w:pPr>
      <w:r>
        <w:rPr>
          <w:noProof/>
        </w:rPr>
        <mc:AlternateContent>
          <mc:Choice Requires="wpg">
            <w:drawing>
              <wp:inline distT="0" distB="0" distL="0" distR="0" wp14:anchorId="511F0BFE" wp14:editId="2F1C0177">
                <wp:extent cx="6350000" cy="12700"/>
                <wp:effectExtent l="0" t="0" r="0" b="0"/>
                <wp:docPr id="3644" name="Group 3644"/>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333" name="Shape 333"/>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44" style="width:500pt;height:1pt;mso-position-horizontal-relative:char;mso-position-vertical-relative:line" coordsize="63500,127">
                <v:shape id="Shape 333" style="position:absolute;width:63500;height:0;left:0;top:0;" coordsize="6350000,0" path="m0,0l6350000,0">
                  <v:stroke weight="1pt" endcap="flat" joinstyle="miter" miterlimit="10" on="true" color="#000000"/>
                  <v:fill on="false" color="#000000" opacity="0"/>
                </v:shape>
              </v:group>
            </w:pict>
          </mc:Fallback>
        </mc:AlternateContent>
      </w:r>
    </w:p>
    <w:p w14:paraId="6D8A1FAD" w14:textId="77777777" w:rsidR="00505CA3" w:rsidRDefault="00000000">
      <w:pPr>
        <w:spacing w:after="305"/>
        <w:ind w:left="2663" w:hanging="10"/>
      </w:pPr>
      <w:r>
        <w:rPr>
          <w:rFonts w:ascii="Arial" w:eastAsia="Arial" w:hAnsi="Arial" w:cs="Arial"/>
          <w:b/>
          <w:sz w:val="24"/>
        </w:rPr>
        <w:t>OUTRAS DECISÕES REFERENTES À PROCESSUAL</w:t>
      </w:r>
    </w:p>
    <w:p w14:paraId="66EE2987" w14:textId="77777777" w:rsidR="00505CA3" w:rsidRDefault="00000000">
      <w:pPr>
        <w:spacing w:after="167" w:line="265" w:lineRule="auto"/>
        <w:ind w:left="35" w:hanging="10"/>
      </w:pPr>
      <w:hyperlink r:id="rId46">
        <w:r>
          <w:rPr>
            <w:rFonts w:ascii="Arial" w:eastAsia="Arial" w:hAnsi="Arial" w:cs="Arial"/>
            <w:color w:val="2205FC"/>
            <w:sz w:val="20"/>
            <w:u w:val="single" w:color="2205FC"/>
          </w:rPr>
          <w:t>Decisão nº 339/2024</w:t>
        </w:r>
      </w:hyperlink>
    </w:p>
    <w:p w14:paraId="59BC1FA5" w14:textId="77777777" w:rsidR="00505CA3" w:rsidRDefault="00000000">
      <w:pPr>
        <w:spacing w:after="167" w:line="265" w:lineRule="auto"/>
        <w:ind w:left="35" w:hanging="10"/>
      </w:pPr>
      <w:hyperlink r:id="rId47">
        <w:r>
          <w:rPr>
            <w:rFonts w:ascii="Arial" w:eastAsia="Arial" w:hAnsi="Arial" w:cs="Arial"/>
            <w:color w:val="2205FC"/>
            <w:sz w:val="20"/>
            <w:u w:val="single" w:color="2205FC"/>
          </w:rPr>
          <w:t>Decisão nº 456/2024</w:t>
        </w:r>
      </w:hyperlink>
    </w:p>
    <w:p w14:paraId="2116E398" w14:textId="77777777" w:rsidR="00505CA3" w:rsidRDefault="00000000">
      <w:pPr>
        <w:spacing w:after="167" w:line="265" w:lineRule="auto"/>
        <w:ind w:left="35" w:hanging="10"/>
      </w:pPr>
      <w:hyperlink r:id="rId48">
        <w:r>
          <w:rPr>
            <w:rFonts w:ascii="Arial" w:eastAsia="Arial" w:hAnsi="Arial" w:cs="Arial"/>
            <w:color w:val="2205FC"/>
            <w:sz w:val="20"/>
            <w:u w:val="single" w:color="2205FC"/>
          </w:rPr>
          <w:t>Decisão nº 455/2024</w:t>
        </w:r>
      </w:hyperlink>
    </w:p>
    <w:p w14:paraId="06261238" w14:textId="77777777" w:rsidR="00505CA3" w:rsidRDefault="00000000">
      <w:pPr>
        <w:spacing w:after="167" w:line="265" w:lineRule="auto"/>
        <w:ind w:left="35" w:hanging="10"/>
      </w:pPr>
      <w:hyperlink r:id="rId49">
        <w:r>
          <w:rPr>
            <w:rFonts w:ascii="Arial" w:eastAsia="Arial" w:hAnsi="Arial" w:cs="Arial"/>
            <w:color w:val="2205FC"/>
            <w:sz w:val="20"/>
            <w:u w:val="single" w:color="2205FC"/>
          </w:rPr>
          <w:t>Decisão nº 416/2024</w:t>
        </w:r>
      </w:hyperlink>
    </w:p>
    <w:p w14:paraId="7D959334" w14:textId="77777777" w:rsidR="00505CA3" w:rsidRDefault="00000000">
      <w:pPr>
        <w:spacing w:after="167" w:line="265" w:lineRule="auto"/>
        <w:ind w:left="35" w:hanging="10"/>
      </w:pPr>
      <w:hyperlink r:id="rId50">
        <w:r>
          <w:rPr>
            <w:rFonts w:ascii="Arial" w:eastAsia="Arial" w:hAnsi="Arial" w:cs="Arial"/>
            <w:color w:val="2205FC"/>
            <w:sz w:val="20"/>
            <w:u w:val="single" w:color="2205FC"/>
          </w:rPr>
          <w:t>Decisão nº 817/2024</w:t>
        </w:r>
      </w:hyperlink>
    </w:p>
    <w:p w14:paraId="6E3D402D" w14:textId="77777777" w:rsidR="00505CA3" w:rsidRDefault="00000000">
      <w:pPr>
        <w:spacing w:after="167" w:line="265" w:lineRule="auto"/>
        <w:ind w:left="35" w:hanging="10"/>
      </w:pPr>
      <w:hyperlink r:id="rId51">
        <w:r>
          <w:rPr>
            <w:rFonts w:ascii="Arial" w:eastAsia="Arial" w:hAnsi="Arial" w:cs="Arial"/>
            <w:color w:val="2205FC"/>
            <w:sz w:val="20"/>
            <w:u w:val="single" w:color="2205FC"/>
          </w:rPr>
          <w:t>Decisão nº 1171/2024</w:t>
        </w:r>
      </w:hyperlink>
    </w:p>
    <w:p w14:paraId="3ED3FC27" w14:textId="77777777" w:rsidR="00505CA3" w:rsidRDefault="00000000">
      <w:pPr>
        <w:spacing w:after="167" w:line="265" w:lineRule="auto"/>
        <w:ind w:left="35" w:hanging="10"/>
      </w:pPr>
      <w:hyperlink r:id="rId52">
        <w:r>
          <w:rPr>
            <w:rFonts w:ascii="Arial" w:eastAsia="Arial" w:hAnsi="Arial" w:cs="Arial"/>
            <w:color w:val="2205FC"/>
            <w:sz w:val="20"/>
            <w:u w:val="single" w:color="2205FC"/>
          </w:rPr>
          <w:t>Decisão nº 1182/2024</w:t>
        </w:r>
      </w:hyperlink>
    </w:p>
    <w:p w14:paraId="657D3D1B" w14:textId="77777777" w:rsidR="00505CA3" w:rsidRDefault="00000000">
      <w:pPr>
        <w:spacing w:after="167" w:line="265" w:lineRule="auto"/>
        <w:ind w:left="35" w:hanging="10"/>
      </w:pPr>
      <w:hyperlink r:id="rId53">
        <w:r>
          <w:rPr>
            <w:rFonts w:ascii="Arial" w:eastAsia="Arial" w:hAnsi="Arial" w:cs="Arial"/>
            <w:color w:val="2205FC"/>
            <w:sz w:val="20"/>
            <w:u w:val="single" w:color="2205FC"/>
          </w:rPr>
          <w:t>Decisão nº 1609/2024</w:t>
        </w:r>
      </w:hyperlink>
    </w:p>
    <w:p w14:paraId="109E25F4" w14:textId="77777777" w:rsidR="00505CA3" w:rsidRDefault="00000000">
      <w:pPr>
        <w:spacing w:after="167" w:line="265" w:lineRule="auto"/>
        <w:ind w:left="35" w:hanging="10"/>
      </w:pPr>
      <w:hyperlink r:id="rId54">
        <w:r>
          <w:rPr>
            <w:rFonts w:ascii="Arial" w:eastAsia="Arial" w:hAnsi="Arial" w:cs="Arial"/>
            <w:color w:val="2205FC"/>
            <w:sz w:val="20"/>
            <w:u w:val="single" w:color="2205FC"/>
          </w:rPr>
          <w:t>Decisão nº 1640/2024</w:t>
        </w:r>
      </w:hyperlink>
    </w:p>
    <w:p w14:paraId="1E22BFC2" w14:textId="77777777" w:rsidR="00505CA3" w:rsidRDefault="00000000">
      <w:pPr>
        <w:spacing w:after="167" w:line="265" w:lineRule="auto"/>
        <w:ind w:left="35" w:hanging="10"/>
      </w:pPr>
      <w:hyperlink r:id="rId55">
        <w:r>
          <w:rPr>
            <w:rFonts w:ascii="Arial" w:eastAsia="Arial" w:hAnsi="Arial" w:cs="Arial"/>
            <w:color w:val="2205FC"/>
            <w:sz w:val="20"/>
            <w:u w:val="single" w:color="2205FC"/>
          </w:rPr>
          <w:t>Decisão nº 1800/2024</w:t>
        </w:r>
      </w:hyperlink>
    </w:p>
    <w:p w14:paraId="36233F35" w14:textId="77777777" w:rsidR="00505CA3" w:rsidRDefault="00000000">
      <w:pPr>
        <w:spacing w:after="167" w:line="265" w:lineRule="auto"/>
        <w:ind w:left="35" w:hanging="10"/>
      </w:pPr>
      <w:hyperlink r:id="rId56">
        <w:r>
          <w:rPr>
            <w:rFonts w:ascii="Arial" w:eastAsia="Arial" w:hAnsi="Arial" w:cs="Arial"/>
            <w:color w:val="2205FC"/>
            <w:sz w:val="20"/>
            <w:u w:val="single" w:color="2205FC"/>
          </w:rPr>
          <w:t>Decisão nº 2121/2024</w:t>
        </w:r>
      </w:hyperlink>
    </w:p>
    <w:p w14:paraId="013CA3E8" w14:textId="77777777" w:rsidR="00505CA3" w:rsidRDefault="00000000">
      <w:pPr>
        <w:spacing w:after="167" w:line="265" w:lineRule="auto"/>
        <w:ind w:left="35" w:hanging="10"/>
      </w:pPr>
      <w:hyperlink r:id="rId57">
        <w:r>
          <w:rPr>
            <w:rFonts w:ascii="Arial" w:eastAsia="Arial" w:hAnsi="Arial" w:cs="Arial"/>
            <w:color w:val="2205FC"/>
            <w:sz w:val="20"/>
            <w:u w:val="single" w:color="2205FC"/>
          </w:rPr>
          <w:t>Decisão nº 2114/2024</w:t>
        </w:r>
      </w:hyperlink>
    </w:p>
    <w:p w14:paraId="0E68B1FB" w14:textId="77777777" w:rsidR="00505CA3" w:rsidRDefault="00000000">
      <w:pPr>
        <w:spacing w:after="13427" w:line="265" w:lineRule="auto"/>
        <w:ind w:left="35" w:hanging="10"/>
      </w:pPr>
      <w:hyperlink r:id="rId58">
        <w:r>
          <w:rPr>
            <w:rFonts w:ascii="Arial" w:eastAsia="Arial" w:hAnsi="Arial" w:cs="Arial"/>
            <w:color w:val="2205FC"/>
            <w:sz w:val="20"/>
            <w:u w:val="single" w:color="2205FC"/>
          </w:rPr>
          <w:t>Decisão nº 2140/2024</w:t>
        </w:r>
      </w:hyperlink>
    </w:p>
    <w:p w14:paraId="6180B496" w14:textId="77777777" w:rsidR="00505CA3" w:rsidRDefault="00000000">
      <w:pPr>
        <w:spacing w:after="0"/>
        <w:ind w:left="10" w:right="1992" w:hanging="10"/>
        <w:jc w:val="right"/>
      </w:pPr>
      <w:r>
        <w:rPr>
          <w:rFonts w:ascii="Arial" w:eastAsia="Arial" w:hAnsi="Arial" w:cs="Arial"/>
          <w:color w:val="FFFFFF"/>
          <w:sz w:val="20"/>
        </w:rPr>
        <w:lastRenderedPageBreak/>
        <w:t>Coordenadoria de Biblioteca, Gestão da Informação e do Conhecimento – COBGI</w:t>
      </w:r>
    </w:p>
    <w:p w14:paraId="219CD1FF" w14:textId="77777777" w:rsidR="00505CA3" w:rsidRDefault="00000000">
      <w:pPr>
        <w:spacing w:after="0"/>
        <w:ind w:left="10" w:right="2352" w:hanging="10"/>
        <w:jc w:val="right"/>
      </w:pPr>
      <w:r>
        <w:rPr>
          <w:rFonts w:ascii="Arial" w:eastAsia="Arial" w:hAnsi="Arial" w:cs="Arial"/>
          <w:color w:val="FFFFFF"/>
          <w:sz w:val="20"/>
        </w:rPr>
        <w:t>Supervisão de Sistemas de Informação, Legislação e Jurisprudência - SSI</w:t>
      </w:r>
    </w:p>
    <w:p w14:paraId="1830EA39" w14:textId="77777777" w:rsidR="00505CA3" w:rsidRDefault="00000000">
      <w:pPr>
        <w:spacing w:after="0"/>
        <w:ind w:left="1980"/>
      </w:pPr>
      <w:r>
        <w:rPr>
          <w:rFonts w:ascii="Arial" w:eastAsia="Arial" w:hAnsi="Arial" w:cs="Arial"/>
          <w:b/>
          <w:color w:val="FFFFFF"/>
          <w:sz w:val="20"/>
        </w:rPr>
        <w:t xml:space="preserve">Telefone: </w:t>
      </w:r>
      <w:r>
        <w:rPr>
          <w:rFonts w:ascii="Arial" w:eastAsia="Arial" w:hAnsi="Arial" w:cs="Arial"/>
          <w:color w:val="FFFFFF"/>
          <w:sz w:val="20"/>
        </w:rPr>
        <w:t xml:space="preserve">(61) 3314-2226/2593/2259 </w:t>
      </w:r>
      <w:r>
        <w:rPr>
          <w:rFonts w:ascii="Arial" w:eastAsia="Arial" w:hAnsi="Arial" w:cs="Arial"/>
          <w:b/>
          <w:color w:val="FFFFFF"/>
          <w:sz w:val="20"/>
        </w:rPr>
        <w:t xml:space="preserve">email: </w:t>
      </w:r>
      <w:r>
        <w:rPr>
          <w:rFonts w:ascii="Arial" w:eastAsia="Arial" w:hAnsi="Arial" w:cs="Arial"/>
          <w:color w:val="FFFFFF"/>
          <w:sz w:val="20"/>
        </w:rPr>
        <w:t>jurisprudencia@tc.df.gov.br</w:t>
      </w:r>
    </w:p>
    <w:sectPr w:rsidR="00505CA3">
      <w:type w:val="continuous"/>
      <w:pgSz w:w="11900" w:h="16840"/>
      <w:pgMar w:top="442" w:right="358"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58E7" w14:textId="77777777" w:rsidR="00EF5D7C" w:rsidRDefault="00EF5D7C">
      <w:pPr>
        <w:spacing w:after="0" w:line="240" w:lineRule="auto"/>
      </w:pPr>
      <w:r>
        <w:separator/>
      </w:r>
    </w:p>
  </w:endnote>
  <w:endnote w:type="continuationSeparator" w:id="0">
    <w:p w14:paraId="1061A30D" w14:textId="77777777" w:rsidR="00EF5D7C" w:rsidRDefault="00EF5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505CA3" w14:paraId="00D0B476" w14:textId="77777777">
      <w:trPr>
        <w:trHeight w:val="1200"/>
      </w:trPr>
      <w:tc>
        <w:tcPr>
          <w:tcW w:w="11900" w:type="dxa"/>
          <w:tcBorders>
            <w:top w:val="nil"/>
            <w:left w:val="nil"/>
            <w:bottom w:val="nil"/>
            <w:right w:val="nil"/>
          </w:tcBorders>
          <w:shd w:val="clear" w:color="auto" w:fill="01447F"/>
          <w:vAlign w:val="bottom"/>
        </w:tcPr>
        <w:p w14:paraId="67AA06B8" w14:textId="77777777" w:rsidR="00505CA3"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61A7D0C2" w14:textId="77777777" w:rsidR="00505CA3" w:rsidRDefault="00505CA3">
    <w:pPr>
      <w:spacing w:after="0"/>
      <w:ind w:left="-720" w:right="115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505CA3" w14:paraId="381833CB" w14:textId="77777777">
      <w:trPr>
        <w:trHeight w:val="1200"/>
      </w:trPr>
      <w:tc>
        <w:tcPr>
          <w:tcW w:w="11900" w:type="dxa"/>
          <w:tcBorders>
            <w:top w:val="nil"/>
            <w:left w:val="nil"/>
            <w:bottom w:val="nil"/>
            <w:right w:val="nil"/>
          </w:tcBorders>
          <w:shd w:val="clear" w:color="auto" w:fill="01447F"/>
          <w:vAlign w:val="bottom"/>
        </w:tcPr>
        <w:p w14:paraId="73E1CA3B" w14:textId="77777777" w:rsidR="00505CA3"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1387BE0D" w14:textId="77777777" w:rsidR="00505CA3" w:rsidRDefault="00505CA3">
    <w:pPr>
      <w:spacing w:after="0"/>
      <w:ind w:left="-720" w:right="115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505CA3" w14:paraId="72CD8FD6" w14:textId="77777777">
      <w:trPr>
        <w:trHeight w:val="1200"/>
      </w:trPr>
      <w:tc>
        <w:tcPr>
          <w:tcW w:w="11900" w:type="dxa"/>
          <w:tcBorders>
            <w:top w:val="nil"/>
            <w:left w:val="nil"/>
            <w:bottom w:val="nil"/>
            <w:right w:val="nil"/>
          </w:tcBorders>
          <w:shd w:val="clear" w:color="auto" w:fill="01447F"/>
          <w:vAlign w:val="bottom"/>
        </w:tcPr>
        <w:p w14:paraId="1D5F79BA" w14:textId="77777777" w:rsidR="00505CA3"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5313F895" w14:textId="77777777" w:rsidR="00505CA3" w:rsidRDefault="00505CA3">
    <w:pPr>
      <w:spacing w:after="0"/>
      <w:ind w:left="-720" w:right="115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F9011" w14:textId="77777777" w:rsidR="00EF5D7C" w:rsidRDefault="00EF5D7C">
      <w:pPr>
        <w:spacing w:after="0" w:line="240" w:lineRule="auto"/>
      </w:pPr>
      <w:r>
        <w:separator/>
      </w:r>
    </w:p>
  </w:footnote>
  <w:footnote w:type="continuationSeparator" w:id="0">
    <w:p w14:paraId="5922BDF2" w14:textId="77777777" w:rsidR="00EF5D7C" w:rsidRDefault="00EF5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2DE3" w14:textId="77777777" w:rsidR="00505CA3" w:rsidRDefault="00000000">
    <w:r>
      <w:rPr>
        <w:noProof/>
      </w:rPr>
      <mc:AlternateContent>
        <mc:Choice Requires="wpg">
          <w:drawing>
            <wp:anchor distT="0" distB="0" distL="114300" distR="114300" simplePos="0" relativeHeight="251658240" behindDoc="1" locked="0" layoutInCell="1" allowOverlap="1" wp14:anchorId="414186A7" wp14:editId="09D786CB">
              <wp:simplePos x="0" y="0"/>
              <wp:positionH relativeFrom="page">
                <wp:posOffset>0</wp:posOffset>
              </wp:positionH>
              <wp:positionV relativeFrom="page">
                <wp:posOffset>0</wp:posOffset>
              </wp:positionV>
              <wp:extent cx="406400" cy="9931400"/>
              <wp:effectExtent l="0" t="0" r="0" b="0"/>
              <wp:wrapNone/>
              <wp:docPr id="4927" name="Group 4927"/>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5256" name="Shape 5256"/>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927" style="width:32pt;height:782pt;position:absolute;z-index:-2147483648;mso-position-horizontal-relative:page;mso-position-horizontal:absolute;margin-left:0pt;mso-position-vertical-relative:page;margin-top:0pt;" coordsize="4064,99314">
              <v:shape id="Shape 5257"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7491" w14:textId="77777777" w:rsidR="00505CA3" w:rsidRDefault="00000000">
    <w:r>
      <w:rPr>
        <w:noProof/>
      </w:rPr>
      <mc:AlternateContent>
        <mc:Choice Requires="wpg">
          <w:drawing>
            <wp:anchor distT="0" distB="0" distL="114300" distR="114300" simplePos="0" relativeHeight="251659264" behindDoc="1" locked="0" layoutInCell="1" allowOverlap="1" wp14:anchorId="2C5AD038" wp14:editId="32F2D035">
              <wp:simplePos x="0" y="0"/>
              <wp:positionH relativeFrom="page">
                <wp:posOffset>0</wp:posOffset>
              </wp:positionH>
              <wp:positionV relativeFrom="page">
                <wp:posOffset>0</wp:posOffset>
              </wp:positionV>
              <wp:extent cx="406400" cy="9931400"/>
              <wp:effectExtent l="0" t="0" r="0" b="0"/>
              <wp:wrapNone/>
              <wp:docPr id="4912" name="Group 4912"/>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5254" name="Shape 525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912" style="width:32pt;height:782pt;position:absolute;z-index:-2147483648;mso-position-horizontal-relative:page;mso-position-horizontal:absolute;margin-left:0pt;mso-position-vertical-relative:page;margin-top:0pt;" coordsize="4064,99314">
              <v:shape id="Shape 5255"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ADDB" w14:textId="77777777" w:rsidR="00505CA3" w:rsidRDefault="00000000">
    <w:r>
      <w:rPr>
        <w:noProof/>
      </w:rPr>
      <mc:AlternateContent>
        <mc:Choice Requires="wpg">
          <w:drawing>
            <wp:anchor distT="0" distB="0" distL="114300" distR="114300" simplePos="0" relativeHeight="251660288" behindDoc="1" locked="0" layoutInCell="1" allowOverlap="1" wp14:anchorId="282A4F42" wp14:editId="7A2F4DD2">
              <wp:simplePos x="0" y="0"/>
              <wp:positionH relativeFrom="page">
                <wp:posOffset>0</wp:posOffset>
              </wp:positionH>
              <wp:positionV relativeFrom="page">
                <wp:posOffset>0</wp:posOffset>
              </wp:positionV>
              <wp:extent cx="406400" cy="9931400"/>
              <wp:effectExtent l="0" t="0" r="0" b="0"/>
              <wp:wrapNone/>
              <wp:docPr id="4897" name="Group 4897"/>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5252" name="Shape 525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4897" style="width:32pt;height:782pt;position:absolute;z-index:-2147483648;mso-position-horizontal-relative:page;mso-position-horizontal:absolute;margin-left:0pt;mso-position-vertical-relative:page;margin-top:0pt;" coordsize="4064,99314">
              <v:shape id="Shape 5253"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328AC"/>
    <w:multiLevelType w:val="hybridMultilevel"/>
    <w:tmpl w:val="04DCE0F4"/>
    <w:lvl w:ilvl="0" w:tplc="813095EC">
      <w:start w:val="4"/>
      <w:numFmt w:val="decimal"/>
      <w:lvlText w:val="%1."/>
      <w:lvlJc w:val="left"/>
      <w:pPr>
        <w:ind w:left="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C27D50">
      <w:start w:val="1"/>
      <w:numFmt w:val="lowerLetter"/>
      <w:lvlText w:val="%2"/>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E818AA">
      <w:start w:val="1"/>
      <w:numFmt w:val="lowerRoman"/>
      <w:lvlText w:val="%3"/>
      <w:lvlJc w:val="left"/>
      <w:pPr>
        <w:ind w:left="2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C0A540">
      <w:start w:val="1"/>
      <w:numFmt w:val="decimal"/>
      <w:lvlText w:val="%4"/>
      <w:lvlJc w:val="left"/>
      <w:pPr>
        <w:ind w:left="3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8EE664">
      <w:start w:val="1"/>
      <w:numFmt w:val="lowerLetter"/>
      <w:lvlText w:val="%5"/>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06F7AC">
      <w:start w:val="1"/>
      <w:numFmt w:val="lowerRoman"/>
      <w:lvlText w:val="%6"/>
      <w:lvlJc w:val="left"/>
      <w:pPr>
        <w:ind w:left="4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ACBAA2">
      <w:start w:val="1"/>
      <w:numFmt w:val="decimal"/>
      <w:lvlText w:val="%7"/>
      <w:lvlJc w:val="left"/>
      <w:pPr>
        <w:ind w:left="5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48B652">
      <w:start w:val="1"/>
      <w:numFmt w:val="lowerLetter"/>
      <w:lvlText w:val="%8"/>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7C8C1C">
      <w:start w:val="1"/>
      <w:numFmt w:val="lowerRoman"/>
      <w:lvlText w:val="%9"/>
      <w:lvlJc w:val="left"/>
      <w:pPr>
        <w:ind w:left="6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80B5E8C"/>
    <w:multiLevelType w:val="hybridMultilevel"/>
    <w:tmpl w:val="05A00CC2"/>
    <w:lvl w:ilvl="0" w:tplc="EF0661E4">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A894B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7EBD7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485D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DCC72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08CFE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DA4FC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7A2C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2ABCD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FBB21E9"/>
    <w:multiLevelType w:val="hybridMultilevel"/>
    <w:tmpl w:val="5BBEE9DC"/>
    <w:lvl w:ilvl="0" w:tplc="4C0E4C7E">
      <w:start w:val="1"/>
      <w:numFmt w:val="decimal"/>
      <w:lvlText w:val="%1."/>
      <w:lvlJc w:val="left"/>
      <w:pPr>
        <w:ind w:left="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DCACB2">
      <w:start w:val="1"/>
      <w:numFmt w:val="lowerLetter"/>
      <w:lvlText w:val="%2"/>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7C71EC">
      <w:start w:val="1"/>
      <w:numFmt w:val="lowerRoman"/>
      <w:lvlText w:val="%3"/>
      <w:lvlJc w:val="left"/>
      <w:pPr>
        <w:ind w:left="2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78670C">
      <w:start w:val="1"/>
      <w:numFmt w:val="decimal"/>
      <w:lvlText w:val="%4"/>
      <w:lvlJc w:val="left"/>
      <w:pPr>
        <w:ind w:left="3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6E0B6E">
      <w:start w:val="1"/>
      <w:numFmt w:val="lowerLetter"/>
      <w:lvlText w:val="%5"/>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1A8076">
      <w:start w:val="1"/>
      <w:numFmt w:val="lowerRoman"/>
      <w:lvlText w:val="%6"/>
      <w:lvlJc w:val="left"/>
      <w:pPr>
        <w:ind w:left="4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609A30">
      <w:start w:val="1"/>
      <w:numFmt w:val="decimal"/>
      <w:lvlText w:val="%7"/>
      <w:lvlJc w:val="left"/>
      <w:pPr>
        <w:ind w:left="5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C78D2">
      <w:start w:val="1"/>
      <w:numFmt w:val="lowerLetter"/>
      <w:lvlText w:val="%8"/>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5C672C">
      <w:start w:val="1"/>
      <w:numFmt w:val="lowerRoman"/>
      <w:lvlText w:val="%9"/>
      <w:lvlJc w:val="left"/>
      <w:pPr>
        <w:ind w:left="6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5260685"/>
    <w:multiLevelType w:val="hybridMultilevel"/>
    <w:tmpl w:val="A2727508"/>
    <w:lvl w:ilvl="0" w:tplc="0D62B2C6">
      <w:start w:val="1"/>
      <w:numFmt w:val="decimal"/>
      <w:lvlText w:val="%1."/>
      <w:lvlJc w:val="left"/>
      <w:pPr>
        <w:ind w:left="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209738">
      <w:start w:val="1"/>
      <w:numFmt w:val="lowerLetter"/>
      <w:lvlText w:val="%2"/>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6A5DD6">
      <w:start w:val="1"/>
      <w:numFmt w:val="lowerRoman"/>
      <w:lvlText w:val="%3"/>
      <w:lvlJc w:val="left"/>
      <w:pPr>
        <w:ind w:left="2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18B70A">
      <w:start w:val="1"/>
      <w:numFmt w:val="decimal"/>
      <w:lvlText w:val="%4"/>
      <w:lvlJc w:val="left"/>
      <w:pPr>
        <w:ind w:left="3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7E5782">
      <w:start w:val="1"/>
      <w:numFmt w:val="lowerLetter"/>
      <w:lvlText w:val="%5"/>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6A6052">
      <w:start w:val="1"/>
      <w:numFmt w:val="lowerRoman"/>
      <w:lvlText w:val="%6"/>
      <w:lvlJc w:val="left"/>
      <w:pPr>
        <w:ind w:left="4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F00664">
      <w:start w:val="1"/>
      <w:numFmt w:val="decimal"/>
      <w:lvlText w:val="%7"/>
      <w:lvlJc w:val="left"/>
      <w:pPr>
        <w:ind w:left="5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4CC87A">
      <w:start w:val="1"/>
      <w:numFmt w:val="lowerLetter"/>
      <w:lvlText w:val="%8"/>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FEEA8A">
      <w:start w:val="1"/>
      <w:numFmt w:val="lowerRoman"/>
      <w:lvlText w:val="%9"/>
      <w:lvlJc w:val="left"/>
      <w:pPr>
        <w:ind w:left="6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02376636">
    <w:abstractNumId w:val="1"/>
  </w:num>
  <w:num w:numId="2" w16cid:durableId="400710996">
    <w:abstractNumId w:val="3"/>
  </w:num>
  <w:num w:numId="3" w16cid:durableId="2077242586">
    <w:abstractNumId w:val="2"/>
  </w:num>
  <w:num w:numId="4" w16cid:durableId="194074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CA3"/>
    <w:rsid w:val="001C76E3"/>
    <w:rsid w:val="00505CA3"/>
    <w:rsid w:val="00546994"/>
    <w:rsid w:val="00EF5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08E5"/>
  <w15:docId w15:val="{BF08E537-A5AD-42CD-B0C8-D6E6538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sinj.df.gov.br/sinj/DetalhesDeNorma.aspx?id_norma=103f06688360405fbd9c5562e47f95a7" TargetMode="External"/><Relationship Id="rId26" Type="http://schemas.openxmlformats.org/officeDocument/2006/relationships/hyperlink" Target="http://www.sinj.df.gov.br/sinj/DetalhesDeNorma.aspx?id_norma=48050" TargetMode="External"/><Relationship Id="rId39" Type="http://schemas.openxmlformats.org/officeDocument/2006/relationships/hyperlink" Target="http://www.sinj.df.gov.br/sinj/DetalhesDeNorma.aspx?id_norma=103f06688360405fbd9c5562e47f95a7" TargetMode="External"/><Relationship Id="rId21" Type="http://schemas.openxmlformats.org/officeDocument/2006/relationships/hyperlink" Target="http://www.planalto.gov.br/ccivil_03/_ato2015-2018/2015/lei/l13105.htm" TargetMode="External"/><Relationship Id="rId34" Type="http://schemas.openxmlformats.org/officeDocument/2006/relationships/hyperlink" Target="https://www.sinj.df.gov.br/sinj/Norma/40fe1fd345f345f88adf5f0636195d78/tcdf_in_1_2022.html" TargetMode="External"/><Relationship Id="rId42" Type="http://schemas.openxmlformats.org/officeDocument/2006/relationships/hyperlink" Target="http://www.planalto.gov.br/ccivil_03/leis/L9264.htm" TargetMode="External"/><Relationship Id="rId47" Type="http://schemas.openxmlformats.org/officeDocument/2006/relationships/hyperlink" Target="https://etcdf.tc.df.gov.br/?a=consultaETCDF&amp;f=formPrincipal&amp;edoc=94A44D9B" TargetMode="External"/><Relationship Id="rId50" Type="http://schemas.openxmlformats.org/officeDocument/2006/relationships/hyperlink" Target="https://etcdf.tc.df.gov.br/?a=consultaETCDF&amp;f=formPrincipal&amp;edoc=BFC42BEC" TargetMode="External"/><Relationship Id="rId55" Type="http://schemas.openxmlformats.org/officeDocument/2006/relationships/hyperlink" Target="https://etcdf.tc.df.gov.br/?a=consultaETCDF&amp;f=formPrincipal&amp;edoc=6C77E52D" TargetMode="Externa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planalto.gov.br/ccivil_03/_ato2011-2014/2014/lei/l13019.htm" TargetMode="External"/><Relationship Id="rId33" Type="http://schemas.openxmlformats.org/officeDocument/2006/relationships/hyperlink" Target="http://www.sinj.df.gov.br/sinj/DetalhesDeNorma.aspx?id_norma=51831" TargetMode="External"/><Relationship Id="rId38" Type="http://schemas.openxmlformats.org/officeDocument/2006/relationships/hyperlink" Target="https://etcdf.tc.df.gov.br/?a=consultaETCDF&amp;f=formPrincipal&amp;edoc=505E6E4D" TargetMode="External"/><Relationship Id="rId46" Type="http://schemas.openxmlformats.org/officeDocument/2006/relationships/hyperlink" Target="https://etcdf.tc.df.gov.br/?a=consultaETCDF&amp;f=formPrincipal&amp;edoc=A605EF05"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etcdf.tc.df.gov.br/?a=consultaETCDF&amp;f=formPrincipal&amp;edoc=71777FF7" TargetMode="External"/><Relationship Id="rId29" Type="http://schemas.openxmlformats.org/officeDocument/2006/relationships/hyperlink" Target="https://etcdf.tc.df.gov.br/?a=consultaETCDF&amp;f=formPrincipal&amp;edoc=655CBA8D" TargetMode="External"/><Relationship Id="rId41" Type="http://schemas.openxmlformats.org/officeDocument/2006/relationships/hyperlink" Target="http://www.planalto.gov.br/ccivil_03/_ato2015-2018/2018/lei/L13690.htm" TargetMode="External"/><Relationship Id="rId54" Type="http://schemas.openxmlformats.org/officeDocument/2006/relationships/hyperlink" Target="https://etcdf.tc.df.gov.br/?a=consultaETCDF&amp;f=formPrincipal&amp;edoc=62780B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isprudencia.tc.df.gov.br/solicitacao-de-boletim/" TargetMode="External"/><Relationship Id="rId24" Type="http://schemas.openxmlformats.org/officeDocument/2006/relationships/hyperlink" Target="https://etcdf.tc.df.gov.br/?a=consultaETCDF&amp;f=formPrincipal&amp;edoc=E6E06311" TargetMode="External"/><Relationship Id="rId32" Type="http://schemas.openxmlformats.org/officeDocument/2006/relationships/hyperlink" Target="http://www.sinj.df.gov.br/sinj/DetalhesDeNorma.aspx?id_norma=103f06688360405fbd9c5562e47f95a7" TargetMode="External"/><Relationship Id="rId37" Type="http://schemas.openxmlformats.org/officeDocument/2006/relationships/hyperlink" Target="https://etcdf.tc.df.gov.br/?a=consultaETCDF&amp;f=formPrincipal&amp;edoc=9BC6F5F2" TargetMode="External"/><Relationship Id="rId40" Type="http://schemas.openxmlformats.org/officeDocument/2006/relationships/hyperlink" Target="http://www.planalto.gov.br/ccivil_03/leis/LCP/Lcp51.htm" TargetMode="External"/><Relationship Id="rId45" Type="http://schemas.openxmlformats.org/officeDocument/2006/relationships/hyperlink" Target="http://www.planalto.gov.br/ccivil_03/leis/l9873.htm" TargetMode="External"/><Relationship Id="rId53" Type="http://schemas.openxmlformats.org/officeDocument/2006/relationships/hyperlink" Target="https://etcdf.tc.df.gov.br/?a=consultaETCDF&amp;f=formPrincipal&amp;edoc=EBF016F7" TargetMode="External"/><Relationship Id="rId58" Type="http://schemas.openxmlformats.org/officeDocument/2006/relationships/hyperlink" Target="https://etcdf.tc.df.gov.br/?a=consultaETCDF&amp;f=formPrincipal&amp;edoc=4B37C786"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www.sinj.df.gov.br/sinj/DetalhesDeNorma.aspx?id_norma=103f06688360405fbd9c5562e47f95a7" TargetMode="External"/><Relationship Id="rId28" Type="http://schemas.openxmlformats.org/officeDocument/2006/relationships/hyperlink" Target="https://www.sinj.df.gov.br/sinj/DetalhesDeNorma.aspx?id_norma=1cb76d11eae54626adbed2a3303f0b85" TargetMode="External"/><Relationship Id="rId36" Type="http://schemas.openxmlformats.org/officeDocument/2006/relationships/hyperlink" Target="https://etcdf.tc.df.gov.br/?a=consultaETCDF&amp;f=formPrincipal&amp;edoc=19FA36D5" TargetMode="External"/><Relationship Id="rId49" Type="http://schemas.openxmlformats.org/officeDocument/2006/relationships/hyperlink" Target="https://etcdf.tc.df.gov.br/?a=consultaETCDF&amp;f=formPrincipal&amp;edoc=10D4BF8C" TargetMode="External"/><Relationship Id="rId57" Type="http://schemas.openxmlformats.org/officeDocument/2006/relationships/hyperlink" Target="https://etcdf.tc.df.gov.br/?a=consultaETCDF&amp;f=formPrincipal&amp;edoc=C5F3DC13" TargetMode="External"/><Relationship Id="rId10" Type="http://schemas.openxmlformats.org/officeDocument/2006/relationships/image" Target="media/image1.png"/><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sinj.df.gov.br/sinj/DetalhesDeNorma.aspx?id_norma=103f06688360405fbd9c5562e47f95a7" TargetMode="External"/><Relationship Id="rId44" Type="http://schemas.openxmlformats.org/officeDocument/2006/relationships/hyperlink" Target="https://www.sinj.df.gov.br/sinj/DetalhesDeNorma.aspx?id_norma=1cb76d11eae54626adbed2a3303f0b85" TargetMode="External"/><Relationship Id="rId52" Type="http://schemas.openxmlformats.org/officeDocument/2006/relationships/hyperlink" Target="https://etcdf.tc.df.gov.br/?a=consultaETCDF&amp;f=formPrincipal&amp;edoc=384670E1"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footer" Target="footer1.xml"/><Relationship Id="rId22" Type="http://schemas.openxmlformats.org/officeDocument/2006/relationships/hyperlink" Target="http://www.sinj.df.gov.br/sinj/DetalhesDeNorma.aspx?id_norma=51831" TargetMode="External"/><Relationship Id="rId27" Type="http://schemas.openxmlformats.org/officeDocument/2006/relationships/hyperlink" Target="http://www.sinj.df.gov.br/sinj/DetalhesDeNorma.aspx?id_norma=dafaadb15ff3452f82afc4390b5ee432" TargetMode="External"/><Relationship Id="rId30" Type="http://schemas.openxmlformats.org/officeDocument/2006/relationships/hyperlink" Target="https://etcdf.tc.df.gov.br/?a=consultaETCDF&amp;f=formPrincipal&amp;edoc=7E7F619F" TargetMode="External"/><Relationship Id="rId35" Type="http://schemas.openxmlformats.org/officeDocument/2006/relationships/hyperlink" Target="https://www.sinj.df.gov.br/sinj/Norma/40fe1fd345f345f88adf5f0636195d78/tcdf_in_1_2022.html" TargetMode="External"/><Relationship Id="rId43" Type="http://schemas.openxmlformats.org/officeDocument/2006/relationships/hyperlink" Target="https://etcdf.tc.df.gov.br/?a=consultaETCDF&amp;f=formPrincipal&amp;edoc=BB8E4799" TargetMode="External"/><Relationship Id="rId48" Type="http://schemas.openxmlformats.org/officeDocument/2006/relationships/hyperlink" Target="https://etcdf.tc.df.gov.br/?a=consultaETCDF&amp;f=formPrincipal&amp;edoc=2FC742D8" TargetMode="External"/><Relationship Id="rId56" Type="http://schemas.openxmlformats.org/officeDocument/2006/relationships/hyperlink" Target="https://etcdf.tc.df.gov.br/?a=consultaETCDF&amp;f=formPrincipal&amp;edoc=E63C78C2" TargetMode="External"/><Relationship Id="rId8" Type="http://schemas.openxmlformats.org/officeDocument/2006/relationships/image" Target="media/image2.png"/><Relationship Id="rId51" Type="http://schemas.openxmlformats.org/officeDocument/2006/relationships/hyperlink" Target="https://etcdf.tc.df.gov.br/?a=consultaETCDF&amp;f=formPrincipal&amp;edoc=2FEF0F28" TargetMode="External"/><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2377</Words>
  <Characters>12840</Characters>
  <Application>Microsoft Office Word</Application>
  <DocSecurity>0</DocSecurity>
  <Lines>107</Lines>
  <Paragraphs>30</Paragraphs>
  <ScaleCrop>false</ScaleCrop>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2026-08-26T18:51:00Z</dcterms:created>
  <dcterms:modified xsi:type="dcterms:W3CDTF">2026-08-26T18:51:00Z</dcterms:modified>
</cp:coreProperties>
</file>