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E8B54" w14:textId="77777777" w:rsidR="00171869" w:rsidRDefault="00000000">
      <w:pPr>
        <w:shd w:val="clear" w:color="auto" w:fill="01447F"/>
        <w:spacing w:after="164" w:line="243" w:lineRule="auto"/>
        <w:ind w:left="200" w:right="3010"/>
      </w:pPr>
      <w:r>
        <w:rPr>
          <w:rFonts w:ascii="Arial" w:eastAsia="Arial" w:hAnsi="Arial" w:cs="Arial"/>
          <w:b/>
          <w:color w:val="FFFFFF"/>
          <w:sz w:val="42"/>
        </w:rPr>
        <w:t>Boletim de Jurisprudência Processual, nº 12</w:t>
      </w:r>
    </w:p>
    <w:p w14:paraId="3D540E00" w14:textId="77777777" w:rsidR="00171869" w:rsidRDefault="00000000">
      <w:pPr>
        <w:spacing w:after="222"/>
        <w:ind w:left="200"/>
      </w:pPr>
      <w:r>
        <w:rPr>
          <w:rFonts w:ascii="Arial" w:eastAsia="Arial" w:hAnsi="Arial" w:cs="Arial"/>
          <w:b/>
          <w:sz w:val="24"/>
        </w:rPr>
        <w:t>Sessões de julho a dezembro de 2024.</w:t>
      </w:r>
    </w:p>
    <w:p w14:paraId="5CA9F2D6" w14:textId="77777777" w:rsidR="00171869" w:rsidRDefault="00000000">
      <w:pPr>
        <w:spacing w:after="0" w:line="326" w:lineRule="auto"/>
        <w:ind w:left="135" w:hanging="10"/>
      </w:pPr>
      <w:r>
        <w:rPr>
          <w:rFonts w:ascii="Arial" w:eastAsia="Arial" w:hAnsi="Arial" w:cs="Arial"/>
          <w:sz w:val="24"/>
        </w:rPr>
        <w:t xml:space="preserve">     Este boletim periódico apresenta um conjunto de decisões do Tribunal de Contas do Distrito Federal (TCDF) que foram destacadas por sua relevância.</w:t>
      </w:r>
    </w:p>
    <w:p w14:paraId="7ED5D79A" w14:textId="77777777" w:rsidR="00171869" w:rsidRDefault="00000000">
      <w:pPr>
        <w:spacing w:after="0" w:line="326" w:lineRule="auto"/>
        <w:ind w:left="135" w:hanging="10"/>
      </w:pPr>
      <w:r>
        <w:rPr>
          <w:rFonts w:ascii="Arial" w:eastAsia="Arial" w:hAnsi="Arial" w:cs="Arial"/>
          <w:sz w:val="24"/>
        </w:rPr>
        <w:t xml:space="preserve">     As decisões estão expostas por meio de resumos produzidos pela Supervisão de Legislação e Jurisprudência - SLJ ou pela ementa dos votos dos Conselheiros Relatores.</w:t>
      </w:r>
    </w:p>
    <w:p w14:paraId="6CBD234E" w14:textId="77777777" w:rsidR="00171869" w:rsidRDefault="00000000">
      <w:pPr>
        <w:spacing w:after="0" w:line="326" w:lineRule="auto"/>
        <w:ind w:left="135" w:hanging="10"/>
      </w:pPr>
      <w:r>
        <w:rPr>
          <w:rFonts w:ascii="Arial" w:eastAsia="Arial" w:hAnsi="Arial" w:cs="Arial"/>
          <w:sz w:val="24"/>
        </w:rPr>
        <w:t xml:space="preserve">     Importante destacar que as informações não são um resumo oficial, nem refletem necessariamente a opinião dominante do Tribunal.</w:t>
      </w:r>
    </w:p>
    <w:p w14:paraId="2F006AFC" w14:textId="77777777" w:rsidR="00171869" w:rsidRDefault="00000000">
      <w:pPr>
        <w:spacing w:after="794" w:line="326" w:lineRule="auto"/>
        <w:ind w:left="135" w:hanging="10"/>
      </w:pPr>
      <w:r>
        <w:rPr>
          <w:rFonts w:ascii="Arial" w:eastAsia="Arial" w:hAnsi="Arial" w:cs="Arial"/>
          <w:sz w:val="24"/>
        </w:rPr>
        <w:t xml:space="preserve">     Para detalhes, acesse os documentos do processo pelos links fornecidos.</w:t>
      </w:r>
    </w:p>
    <w:p w14:paraId="3E1524EE" w14:textId="77777777" w:rsidR="00171869" w:rsidRDefault="00000000">
      <w:pPr>
        <w:spacing w:after="762"/>
        <w:ind w:left="2300"/>
      </w:pPr>
      <w:r>
        <w:rPr>
          <w:noProof/>
        </w:rPr>
        <mc:AlternateContent>
          <mc:Choice Requires="wpg">
            <w:drawing>
              <wp:inline distT="0" distB="0" distL="0" distR="0" wp14:anchorId="551B1AF8" wp14:editId="0BE686DF">
                <wp:extent cx="3683000" cy="12700"/>
                <wp:effectExtent l="0" t="0" r="0" b="0"/>
                <wp:docPr id="5297" name="Group 5297"/>
                <wp:cNvGraphicFramePr/>
                <a:graphic xmlns:a="http://schemas.openxmlformats.org/drawingml/2006/main">
                  <a:graphicData uri="http://schemas.microsoft.com/office/word/2010/wordprocessingGroup">
                    <wpg:wgp>
                      <wpg:cNvGrpSpPr/>
                      <wpg:grpSpPr>
                        <a:xfrm>
                          <a:off x="0" y="0"/>
                          <a:ext cx="3683000" cy="12700"/>
                          <a:chOff x="0" y="0"/>
                          <a:chExt cx="3683000" cy="12700"/>
                        </a:xfrm>
                      </wpg:grpSpPr>
                      <wps:wsp>
                        <wps:cNvPr id="24" name="Shape 24"/>
                        <wps:cNvSpPr/>
                        <wps:spPr>
                          <a:xfrm>
                            <a:off x="0" y="0"/>
                            <a:ext cx="3683000" cy="0"/>
                          </a:xfrm>
                          <a:custGeom>
                            <a:avLst/>
                            <a:gdLst/>
                            <a:ahLst/>
                            <a:cxnLst/>
                            <a:rect l="0" t="0" r="0" b="0"/>
                            <a:pathLst>
                              <a:path w="3683000">
                                <a:moveTo>
                                  <a:pt x="0" y="0"/>
                                </a:moveTo>
                                <a:lnTo>
                                  <a:pt x="3683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297" style="width:290pt;height:1pt;mso-position-horizontal-relative:char;mso-position-vertical-relative:line" coordsize="36830,127">
                <v:shape id="Shape 24" style="position:absolute;width:36830;height:0;left:0;top:0;" coordsize="3683000,0" path="m0,0l3683000,0">
                  <v:stroke weight="1pt" endcap="flat" joinstyle="miter" miterlimit="10" on="true" color="#000000"/>
                  <v:fill on="false" color="#000000" opacity="0"/>
                </v:shape>
              </v:group>
            </w:pict>
          </mc:Fallback>
        </mc:AlternateContent>
      </w:r>
    </w:p>
    <w:tbl>
      <w:tblPr>
        <w:tblStyle w:val="TableGrid"/>
        <w:tblpPr w:vertAnchor="page" w:horzAnchor="page" w:tblpX="100" w:tblpY="914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171869" w14:paraId="66CDE483" w14:textId="77777777">
        <w:trPr>
          <w:trHeight w:val="400"/>
        </w:trPr>
        <w:tc>
          <w:tcPr>
            <w:tcW w:w="500" w:type="dxa"/>
            <w:tcBorders>
              <w:top w:val="nil"/>
              <w:left w:val="nil"/>
              <w:bottom w:val="nil"/>
              <w:right w:val="nil"/>
            </w:tcBorders>
            <w:shd w:val="clear" w:color="auto" w:fill="01447F"/>
          </w:tcPr>
          <w:p w14:paraId="4C36A111" w14:textId="77777777" w:rsidR="00171869" w:rsidRDefault="00000000">
            <w:pPr>
              <w:spacing w:after="0"/>
            </w:pPr>
            <w:r>
              <w:rPr>
                <w:rFonts w:ascii="Arial" w:eastAsia="Arial" w:hAnsi="Arial" w:cs="Arial"/>
                <w:b/>
                <w:color w:val="FFFFFF"/>
                <w:sz w:val="28"/>
              </w:rPr>
              <w:t>1</w:t>
            </w:r>
          </w:p>
        </w:tc>
      </w:tr>
    </w:tbl>
    <w:tbl>
      <w:tblPr>
        <w:tblStyle w:val="TableGrid"/>
        <w:tblpPr w:vertAnchor="page" w:horzAnchor="page" w:tblpX="100" w:tblpY="1464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171869" w14:paraId="1F9204D4" w14:textId="77777777">
        <w:trPr>
          <w:trHeight w:val="400"/>
        </w:trPr>
        <w:tc>
          <w:tcPr>
            <w:tcW w:w="500" w:type="dxa"/>
            <w:tcBorders>
              <w:top w:val="nil"/>
              <w:left w:val="nil"/>
              <w:bottom w:val="nil"/>
              <w:right w:val="nil"/>
            </w:tcBorders>
            <w:shd w:val="clear" w:color="auto" w:fill="01447F"/>
          </w:tcPr>
          <w:p w14:paraId="03C45F8B" w14:textId="77777777" w:rsidR="00171869" w:rsidRDefault="00000000">
            <w:pPr>
              <w:spacing w:after="0"/>
            </w:pPr>
            <w:r>
              <w:rPr>
                <w:rFonts w:ascii="Arial" w:eastAsia="Arial" w:hAnsi="Arial" w:cs="Arial"/>
                <w:b/>
                <w:color w:val="FFFFFF"/>
                <w:sz w:val="28"/>
              </w:rPr>
              <w:t>2</w:t>
            </w:r>
          </w:p>
        </w:tc>
      </w:tr>
    </w:tbl>
    <w:p w14:paraId="3FD00EBC" w14:textId="77777777" w:rsidR="00171869" w:rsidRDefault="00000000">
      <w:pPr>
        <w:spacing w:after="158" w:line="251" w:lineRule="auto"/>
        <w:ind w:left="15" w:right="8" w:hanging="10"/>
        <w:jc w:val="both"/>
      </w:pPr>
      <w:r>
        <w:rPr>
          <w:noProof/>
        </w:rPr>
        <mc:AlternateContent>
          <mc:Choice Requires="wpg">
            <w:drawing>
              <wp:anchor distT="0" distB="0" distL="114300" distR="114300" simplePos="0" relativeHeight="251658240" behindDoc="0" locked="0" layoutInCell="1" allowOverlap="1" wp14:anchorId="25D0C645" wp14:editId="555313D1">
                <wp:simplePos x="0" y="0"/>
                <wp:positionH relativeFrom="page">
                  <wp:posOffset>0</wp:posOffset>
                </wp:positionH>
                <wp:positionV relativeFrom="page">
                  <wp:posOffset>0</wp:posOffset>
                </wp:positionV>
                <wp:extent cx="7556500" cy="966723"/>
                <wp:effectExtent l="0" t="0" r="0" b="0"/>
                <wp:wrapTopAndBottom/>
                <wp:docPr id="5296" name="Group 5296"/>
                <wp:cNvGraphicFramePr/>
                <a:graphic xmlns:a="http://schemas.openxmlformats.org/drawingml/2006/main">
                  <a:graphicData uri="http://schemas.microsoft.com/office/word/2010/wordprocessingGroup">
                    <wpg:wgp>
                      <wpg:cNvGrpSpPr/>
                      <wpg:grpSpPr>
                        <a:xfrm>
                          <a:off x="0" y="0"/>
                          <a:ext cx="7556500" cy="966723"/>
                          <a:chOff x="0" y="0"/>
                          <a:chExt cx="7556500" cy="966723"/>
                        </a:xfrm>
                      </wpg:grpSpPr>
                      <pic:pic xmlns:pic="http://schemas.openxmlformats.org/drawingml/2006/picture">
                        <pic:nvPicPr>
                          <pic:cNvPr id="17" name="Picture 17"/>
                          <pic:cNvPicPr/>
                        </pic:nvPicPr>
                        <pic:blipFill>
                          <a:blip r:embed="rId7"/>
                          <a:stretch>
                            <a:fillRect/>
                          </a:stretch>
                        </pic:blipFill>
                        <pic:spPr>
                          <a:xfrm>
                            <a:off x="0" y="0"/>
                            <a:ext cx="7556500" cy="903224"/>
                          </a:xfrm>
                          <a:prstGeom prst="rect">
                            <a:avLst/>
                          </a:prstGeom>
                        </pic:spPr>
                      </pic:pic>
                      <pic:pic xmlns:pic="http://schemas.openxmlformats.org/drawingml/2006/picture">
                        <pic:nvPicPr>
                          <pic:cNvPr id="6358" name="Picture 6358"/>
                          <pic:cNvPicPr/>
                        </pic:nvPicPr>
                        <pic:blipFill>
                          <a:blip r:embed="rId8"/>
                          <a:stretch>
                            <a:fillRect/>
                          </a:stretch>
                        </pic:blipFill>
                        <pic:spPr>
                          <a:xfrm>
                            <a:off x="60960" y="60960"/>
                            <a:ext cx="7482840" cy="905256"/>
                          </a:xfrm>
                          <a:prstGeom prst="rect">
                            <a:avLst/>
                          </a:prstGeom>
                        </pic:spPr>
                      </pic:pic>
                    </wpg:wgp>
                  </a:graphicData>
                </a:graphic>
              </wp:anchor>
            </w:drawing>
          </mc:Choice>
          <mc:Fallback xmlns:a="http://schemas.openxmlformats.org/drawingml/2006/main">
            <w:pict>
              <v:group id="Group 5296" style="width:595pt;height:76.1199pt;position:absolute;mso-position-horizontal-relative:page;mso-position-horizontal:absolute;margin-left:0pt;mso-position-vertical-relative:page;margin-top:-7.62939e-06pt;" coordsize="75565,9667">
                <v:shape id="Picture 17" style="position:absolute;width:75565;height:9032;left:0;top:0;" filled="f">
                  <v:imagedata r:id="rId9"/>
                </v:shape>
                <v:shape id="Picture 6358" style="position:absolute;width:74828;height:9052;left:609;top:609;" filled="f">
                  <v:imagedata r:id="rId10"/>
                </v:shape>
                <w10:wrap type="topAndBottom"/>
              </v:group>
            </w:pict>
          </mc:Fallback>
        </mc:AlternateContent>
      </w:r>
      <w:r>
        <w:rPr>
          <w:rFonts w:ascii="Arial" w:eastAsia="Arial" w:hAnsi="Arial" w:cs="Arial"/>
          <w:b/>
          <w:sz w:val="20"/>
        </w:rPr>
        <w:t>PROCESSUAL. SECRETARIA DE ESTADO DE DESENVOLVIMENTO SOCIAL DO DISTRITO FEDERAL SEDES/DF. SECRETARIA DE ESTADO DE EDUCAÇÃO DO DISTRITO FEDERAL - SEE/DF. REPRESENTAÇÃO. ADMISSIBILIDADE. TUTELA DE URGÊNCIA. AÇÃO JUDICIAL. IMPROCEDÊNCIA. PRINCÍPIO DA INDEPENDÊNCIA DAS INSTÂNCIAS. MÉRITO. FUMUS BONI IURIS. AUSÊNCIA.</w:t>
      </w:r>
    </w:p>
    <w:p w14:paraId="2BD21458" w14:textId="77777777" w:rsidR="00171869" w:rsidRDefault="00000000">
      <w:pPr>
        <w:numPr>
          <w:ilvl w:val="0"/>
          <w:numId w:val="1"/>
        </w:numPr>
        <w:spacing w:after="3" w:line="251" w:lineRule="auto"/>
        <w:ind w:right="8" w:hanging="10"/>
        <w:jc w:val="both"/>
      </w:pPr>
      <w:r>
        <w:rPr>
          <w:rFonts w:ascii="Arial" w:eastAsia="Arial" w:hAnsi="Arial" w:cs="Arial"/>
          <w:sz w:val="20"/>
        </w:rPr>
        <w:t>A existência de decisão judicial versando sobre o objeto de representação, embora possa influenciar a aferição dorequisito da presença de indício da irregularidade, não impede, per se, o conhecimento da inicial.</w:t>
      </w:r>
    </w:p>
    <w:p w14:paraId="356349D6" w14:textId="77777777" w:rsidR="00171869" w:rsidRDefault="00000000">
      <w:pPr>
        <w:numPr>
          <w:ilvl w:val="0"/>
          <w:numId w:val="1"/>
        </w:numPr>
        <w:spacing w:after="3" w:line="251" w:lineRule="auto"/>
        <w:ind w:right="8" w:hanging="10"/>
        <w:jc w:val="both"/>
      </w:pPr>
      <w:r>
        <w:rPr>
          <w:rFonts w:ascii="Arial" w:eastAsia="Arial" w:hAnsi="Arial" w:cs="Arial"/>
          <w:sz w:val="20"/>
        </w:rPr>
        <w:t>A influência de decisão judicial no processo de controle externo guarda relação com a extensão da independência dasinstâncias e com a possibilidade jurídica do pedido, as quais constituem questões de mérito (Código de Processo Civil, art. 17, c/c Regimento Interno do TCDF, art. 298).</w:t>
      </w:r>
    </w:p>
    <w:p w14:paraId="3D1476BA" w14:textId="77777777" w:rsidR="00171869" w:rsidRDefault="00000000">
      <w:pPr>
        <w:numPr>
          <w:ilvl w:val="0"/>
          <w:numId w:val="1"/>
        </w:numPr>
        <w:spacing w:after="164" w:line="251" w:lineRule="auto"/>
        <w:ind w:right="8" w:hanging="10"/>
        <w:jc w:val="both"/>
      </w:pPr>
      <w:r>
        <w:rPr>
          <w:rFonts w:ascii="Arial" w:eastAsia="Arial" w:hAnsi="Arial" w:cs="Arial"/>
          <w:sz w:val="20"/>
        </w:rPr>
        <w:t>A existência de decisão judicial em sentido contrário ao pedido veiculado na representação implica o afastamento daprobabilidade do direito, impedindo a concessão de tutela de urgência (Código de Processo Civil, art. 300, c/c Regimento Interno do TCDF, art. 298)</w:t>
      </w:r>
    </w:p>
    <w:tbl>
      <w:tblPr>
        <w:tblStyle w:val="TableGrid"/>
        <w:tblW w:w="8617" w:type="dxa"/>
        <w:tblInd w:w="20" w:type="dxa"/>
        <w:tblCellMar>
          <w:top w:w="0" w:type="dxa"/>
          <w:left w:w="0" w:type="dxa"/>
          <w:bottom w:w="0" w:type="dxa"/>
          <w:right w:w="0" w:type="dxa"/>
        </w:tblCellMar>
        <w:tblLook w:val="04A0" w:firstRow="1" w:lastRow="0" w:firstColumn="1" w:lastColumn="0" w:noHBand="0" w:noVBand="1"/>
      </w:tblPr>
      <w:tblGrid>
        <w:gridCol w:w="5080"/>
        <w:gridCol w:w="3537"/>
      </w:tblGrid>
      <w:tr w:rsidR="00171869" w14:paraId="5DE0C865" w14:textId="77777777">
        <w:trPr>
          <w:trHeight w:val="865"/>
        </w:trPr>
        <w:tc>
          <w:tcPr>
            <w:tcW w:w="5080" w:type="dxa"/>
            <w:tcBorders>
              <w:top w:val="nil"/>
              <w:left w:val="nil"/>
              <w:bottom w:val="nil"/>
              <w:right w:val="nil"/>
            </w:tcBorders>
          </w:tcPr>
          <w:p w14:paraId="551B8B32" w14:textId="77777777" w:rsidR="00171869" w:rsidRDefault="00000000">
            <w:pPr>
              <w:spacing w:after="52"/>
            </w:pPr>
            <w:r>
              <w:rPr>
                <w:rFonts w:ascii="Arial" w:eastAsia="Arial" w:hAnsi="Arial" w:cs="Arial"/>
                <w:b/>
                <w:sz w:val="20"/>
              </w:rPr>
              <w:t>Relator:</w:t>
            </w:r>
          </w:p>
          <w:p w14:paraId="1CB7DDE6" w14:textId="77777777" w:rsidR="00171869" w:rsidRDefault="00000000">
            <w:pPr>
              <w:spacing w:after="132"/>
            </w:pPr>
            <w:r>
              <w:rPr>
                <w:rFonts w:ascii="Arial" w:eastAsia="Arial" w:hAnsi="Arial" w:cs="Arial"/>
                <w:b/>
                <w:sz w:val="20"/>
              </w:rPr>
              <w:t>Antonio Renato Alves Rainha</w:t>
            </w:r>
          </w:p>
          <w:p w14:paraId="54C88723" w14:textId="77777777" w:rsidR="00171869" w:rsidRDefault="00000000">
            <w:pPr>
              <w:spacing w:after="0"/>
            </w:pPr>
            <w:r>
              <w:rPr>
                <w:rFonts w:ascii="Arial" w:eastAsia="Arial" w:hAnsi="Arial" w:cs="Arial"/>
                <w:b/>
                <w:sz w:val="20"/>
              </w:rPr>
              <w:t>Decisão por unanimidade</w:t>
            </w:r>
          </w:p>
        </w:tc>
        <w:tc>
          <w:tcPr>
            <w:tcW w:w="3537" w:type="dxa"/>
            <w:tcBorders>
              <w:top w:val="nil"/>
              <w:left w:val="nil"/>
              <w:bottom w:val="nil"/>
              <w:right w:val="nil"/>
            </w:tcBorders>
          </w:tcPr>
          <w:p w14:paraId="2BF5279A" w14:textId="77777777" w:rsidR="00171869" w:rsidRDefault="00000000">
            <w:pPr>
              <w:spacing w:after="52"/>
            </w:pPr>
            <w:r>
              <w:rPr>
                <w:rFonts w:ascii="Arial" w:eastAsia="Arial" w:hAnsi="Arial" w:cs="Arial"/>
                <w:b/>
                <w:sz w:val="20"/>
              </w:rPr>
              <w:t>Sessão:</w:t>
            </w:r>
          </w:p>
          <w:p w14:paraId="76FD0945" w14:textId="77777777" w:rsidR="00171869" w:rsidRDefault="00000000">
            <w:pPr>
              <w:spacing w:after="132"/>
            </w:pPr>
            <w:r>
              <w:rPr>
                <w:rFonts w:ascii="Arial" w:eastAsia="Arial" w:hAnsi="Arial" w:cs="Arial"/>
                <w:b/>
                <w:sz w:val="20"/>
              </w:rPr>
              <w:t>ORDINÁRIA nº 5385, de 03/07/2024.</w:t>
            </w:r>
          </w:p>
          <w:p w14:paraId="6459A376" w14:textId="77777777" w:rsidR="00171869" w:rsidRDefault="00000000">
            <w:pPr>
              <w:spacing w:after="0"/>
              <w:jc w:val="both"/>
            </w:pPr>
            <w:hyperlink r:id="rId11">
              <w:r>
                <w:rPr>
                  <w:rFonts w:ascii="Arial" w:eastAsia="Arial" w:hAnsi="Arial" w:cs="Arial"/>
                  <w:color w:val="2205FC"/>
                  <w:sz w:val="20"/>
                  <w:u w:val="single" w:color="2205FC"/>
                </w:rPr>
                <w:t>Proc. nº 5287/2024 - Dec. nº 2353/2024</w:t>
              </w:r>
            </w:hyperlink>
          </w:p>
        </w:tc>
      </w:tr>
    </w:tbl>
    <w:p w14:paraId="1374C56D" w14:textId="77777777" w:rsidR="00171869" w:rsidRDefault="00000000">
      <w:pPr>
        <w:spacing w:after="158" w:line="251" w:lineRule="auto"/>
        <w:ind w:left="15" w:right="8" w:hanging="10"/>
        <w:jc w:val="both"/>
      </w:pPr>
      <w:r>
        <w:rPr>
          <w:rFonts w:ascii="Arial" w:eastAsia="Arial" w:hAnsi="Arial" w:cs="Arial"/>
          <w:b/>
          <w:sz w:val="20"/>
        </w:rPr>
        <w:t>Decisões relacionadas:</w:t>
      </w:r>
    </w:p>
    <w:p w14:paraId="01C6AE4F" w14:textId="77777777" w:rsidR="00171869" w:rsidRDefault="00000000">
      <w:pPr>
        <w:spacing w:after="327" w:line="265" w:lineRule="auto"/>
        <w:ind w:left="35" w:hanging="10"/>
      </w:pPr>
      <w:hyperlink r:id="rId12">
        <w:r>
          <w:rPr>
            <w:rFonts w:ascii="Arial" w:eastAsia="Arial" w:hAnsi="Arial" w:cs="Arial"/>
            <w:color w:val="2205FC"/>
            <w:sz w:val="20"/>
            <w:u w:val="single" w:color="2205FC"/>
          </w:rPr>
          <w:t>TCDF: Decisão nº 2059/2024</w:t>
        </w:r>
      </w:hyperlink>
    </w:p>
    <w:p w14:paraId="3E19B9A8" w14:textId="77777777" w:rsidR="00171869" w:rsidRDefault="00000000">
      <w:pPr>
        <w:spacing w:after="7" w:line="251" w:lineRule="auto"/>
        <w:ind w:left="15" w:right="8" w:hanging="10"/>
        <w:jc w:val="both"/>
      </w:pPr>
      <w:r>
        <w:rPr>
          <w:rFonts w:ascii="Arial" w:eastAsia="Arial" w:hAnsi="Arial" w:cs="Arial"/>
          <w:b/>
          <w:sz w:val="20"/>
        </w:rPr>
        <w:t>CONSULTA. PRESIDENTE DA CÂMARA LEGISLATIVA DO DISTRITO FEDERAL - CLDF. EXCEÇÃO PREVISTA NO</w:t>
      </w:r>
    </w:p>
    <w:p w14:paraId="7BF43B45" w14:textId="77777777" w:rsidR="00171869" w:rsidRDefault="00000000">
      <w:pPr>
        <w:spacing w:after="158" w:line="251" w:lineRule="auto"/>
        <w:ind w:left="15" w:right="8" w:hanging="10"/>
        <w:jc w:val="both"/>
      </w:pPr>
      <w:r>
        <w:rPr>
          <w:rFonts w:ascii="Arial" w:eastAsia="Arial" w:hAnsi="Arial" w:cs="Arial"/>
          <w:b/>
          <w:sz w:val="20"/>
        </w:rPr>
        <w:t>ART. 8º, INCISO IX, § 8º, DA LEI COMPLEMENTAR N.º 173/2020. DEFINIÇÃO DE SERVIDORES DA SAÚDE E SEU ÂMBITO DE APLICAÇÃO. ADITAMENTO DA CONSULTA. QUESTIONAMENTO QUANTO À APLICABILIDADE DA EXCEÇÃO TAMBÉM AOS SERVIDORES DO</w:t>
      </w:r>
    </w:p>
    <w:p w14:paraId="6392C3B8" w14:textId="77777777" w:rsidR="00171869" w:rsidRDefault="00000000">
      <w:pPr>
        <w:spacing w:after="188" w:line="251" w:lineRule="auto"/>
        <w:ind w:left="15" w:right="8" w:hanging="10"/>
        <w:jc w:val="both"/>
      </w:pPr>
      <w:r>
        <w:rPr>
          <w:rFonts w:ascii="Arial" w:eastAsia="Arial" w:hAnsi="Arial" w:cs="Arial"/>
          <w:b/>
          <w:sz w:val="20"/>
        </w:rPr>
        <w:t>SISTEMA DE SEGURANÇA PÚBLICA DO DISTRITO FEDERAL. CONHECIMENTO DA CONSULTA. NÃO CONHECIMENTO DO ADITAMENTO. ESCLARECIMENTOS. ARQUIVAMENTO.</w:t>
      </w:r>
    </w:p>
    <w:p w14:paraId="106B5B37" w14:textId="77777777" w:rsidR="00171869" w:rsidRDefault="00000000">
      <w:pPr>
        <w:spacing w:after="176" w:line="251" w:lineRule="auto"/>
        <w:ind w:left="15" w:right="8" w:hanging="10"/>
        <w:jc w:val="both"/>
      </w:pPr>
      <w:r>
        <w:rPr>
          <w:rFonts w:ascii="Arial" w:eastAsia="Arial" w:hAnsi="Arial" w:cs="Arial"/>
          <w:sz w:val="20"/>
        </w:rPr>
        <w:t xml:space="preserve">1. A consulta dirigida a esta Corte deve indicar com precisão o seu objeto e ser acompanhada de parecer técnicojurídico. A ausência do preenchimento de tais requisitos, de rigor, impele ao não conhecimento da consulta. 2. Em relação ao alcance da expressão profissionais da área da saúde, para fins de aplicação da exceção prevista no § 8º do art. 8º, inciso </w:t>
      </w:r>
      <w:r>
        <w:rPr>
          <w:rFonts w:ascii="Arial" w:eastAsia="Arial" w:hAnsi="Arial" w:cs="Arial"/>
          <w:sz w:val="20"/>
        </w:rPr>
        <w:lastRenderedPageBreak/>
        <w:t>IX, da Lei Complementar nº 173/2020, incluída pela Lei Complementar nº 191/2022, entende-se que esta abrange os servidores ocupantes de cargos cujas especialidades e atribuições relacionem-se à área de saúde, com ou sem profissão regulamentada, desde que tenham atuado na área da saúde, durante o período de pandemia da Covid19.</w:t>
      </w:r>
    </w:p>
    <w:tbl>
      <w:tblPr>
        <w:tblStyle w:val="TableGrid"/>
        <w:tblW w:w="8617" w:type="dxa"/>
        <w:tblInd w:w="20" w:type="dxa"/>
        <w:tblCellMar>
          <w:top w:w="0" w:type="dxa"/>
          <w:left w:w="0" w:type="dxa"/>
          <w:bottom w:w="0" w:type="dxa"/>
          <w:right w:w="0" w:type="dxa"/>
        </w:tblCellMar>
        <w:tblLook w:val="04A0" w:firstRow="1" w:lastRow="0" w:firstColumn="1" w:lastColumn="0" w:noHBand="0" w:noVBand="1"/>
      </w:tblPr>
      <w:tblGrid>
        <w:gridCol w:w="5080"/>
        <w:gridCol w:w="3537"/>
      </w:tblGrid>
      <w:tr w:rsidR="00171869" w14:paraId="1C058B94" w14:textId="77777777">
        <w:trPr>
          <w:trHeight w:val="865"/>
        </w:trPr>
        <w:tc>
          <w:tcPr>
            <w:tcW w:w="5080" w:type="dxa"/>
            <w:tcBorders>
              <w:top w:val="nil"/>
              <w:left w:val="nil"/>
              <w:bottom w:val="nil"/>
              <w:right w:val="nil"/>
            </w:tcBorders>
          </w:tcPr>
          <w:p w14:paraId="0196F9A4" w14:textId="77777777" w:rsidR="00171869" w:rsidRDefault="00000000">
            <w:pPr>
              <w:spacing w:after="52"/>
            </w:pPr>
            <w:r>
              <w:rPr>
                <w:rFonts w:ascii="Arial" w:eastAsia="Arial" w:hAnsi="Arial" w:cs="Arial"/>
                <w:b/>
                <w:sz w:val="20"/>
              </w:rPr>
              <w:t>Relator:</w:t>
            </w:r>
          </w:p>
          <w:p w14:paraId="17F3C5F2" w14:textId="77777777" w:rsidR="00171869" w:rsidRDefault="00000000">
            <w:pPr>
              <w:spacing w:after="132"/>
            </w:pPr>
            <w:r>
              <w:rPr>
                <w:rFonts w:ascii="Arial" w:eastAsia="Arial" w:hAnsi="Arial" w:cs="Arial"/>
                <w:b/>
                <w:sz w:val="20"/>
              </w:rPr>
              <w:t>André Clemente Lara De Oliveira</w:t>
            </w:r>
          </w:p>
          <w:p w14:paraId="7DFDA5AF" w14:textId="77777777" w:rsidR="00171869" w:rsidRDefault="00000000">
            <w:pPr>
              <w:spacing w:after="0"/>
            </w:pPr>
            <w:r>
              <w:rPr>
                <w:rFonts w:ascii="Arial" w:eastAsia="Arial" w:hAnsi="Arial" w:cs="Arial"/>
                <w:b/>
                <w:sz w:val="20"/>
              </w:rPr>
              <w:t>Decisão por unanimidade</w:t>
            </w:r>
          </w:p>
        </w:tc>
        <w:tc>
          <w:tcPr>
            <w:tcW w:w="3537" w:type="dxa"/>
            <w:tcBorders>
              <w:top w:val="nil"/>
              <w:left w:val="nil"/>
              <w:bottom w:val="nil"/>
              <w:right w:val="nil"/>
            </w:tcBorders>
          </w:tcPr>
          <w:p w14:paraId="06CA2EF0" w14:textId="77777777" w:rsidR="00171869" w:rsidRDefault="00000000">
            <w:pPr>
              <w:spacing w:after="52"/>
            </w:pPr>
            <w:r>
              <w:rPr>
                <w:rFonts w:ascii="Arial" w:eastAsia="Arial" w:hAnsi="Arial" w:cs="Arial"/>
                <w:b/>
                <w:sz w:val="20"/>
              </w:rPr>
              <w:t>Sessão:</w:t>
            </w:r>
          </w:p>
          <w:p w14:paraId="15776EE7" w14:textId="77777777" w:rsidR="00171869" w:rsidRDefault="00000000">
            <w:pPr>
              <w:spacing w:after="132"/>
            </w:pPr>
            <w:r>
              <w:rPr>
                <w:rFonts w:ascii="Arial" w:eastAsia="Arial" w:hAnsi="Arial" w:cs="Arial"/>
                <w:b/>
                <w:sz w:val="20"/>
              </w:rPr>
              <w:t>ORDINÁRIA nº 5386, de 10/07/2024.</w:t>
            </w:r>
          </w:p>
          <w:p w14:paraId="21E652DC" w14:textId="77777777" w:rsidR="00171869" w:rsidRDefault="00000000">
            <w:pPr>
              <w:spacing w:after="0"/>
              <w:jc w:val="both"/>
            </w:pPr>
            <w:hyperlink r:id="rId13">
              <w:r>
                <w:rPr>
                  <w:rFonts w:ascii="Arial" w:eastAsia="Arial" w:hAnsi="Arial" w:cs="Arial"/>
                  <w:color w:val="2205FC"/>
                  <w:sz w:val="20"/>
                  <w:u w:val="single" w:color="2205FC"/>
                </w:rPr>
                <w:t>Proc. nº 1037/2024 - Dec. nº 2577/2024</w:t>
              </w:r>
            </w:hyperlink>
          </w:p>
        </w:tc>
      </w:tr>
    </w:tbl>
    <w:p w14:paraId="1BC87573" w14:textId="77777777" w:rsidR="00171869" w:rsidRDefault="00000000">
      <w:pPr>
        <w:spacing w:after="158" w:line="251" w:lineRule="auto"/>
        <w:ind w:left="15" w:right="8" w:hanging="10"/>
        <w:jc w:val="both"/>
      </w:pPr>
      <w:r>
        <w:rPr>
          <w:rFonts w:ascii="Arial" w:eastAsia="Arial" w:hAnsi="Arial" w:cs="Arial"/>
          <w:b/>
          <w:sz w:val="20"/>
        </w:rPr>
        <w:t>Precedentes externos:</w:t>
      </w:r>
    </w:p>
    <w:p w14:paraId="744E7798" w14:textId="77777777" w:rsidR="00171869" w:rsidRDefault="00000000">
      <w:pPr>
        <w:spacing w:after="167" w:line="265" w:lineRule="auto"/>
        <w:ind w:left="35" w:hanging="10"/>
      </w:pPr>
      <w:hyperlink r:id="rId14">
        <w:r>
          <w:rPr>
            <w:rFonts w:ascii="Arial" w:eastAsia="Arial" w:hAnsi="Arial" w:cs="Arial"/>
            <w:color w:val="2205FC"/>
            <w:sz w:val="20"/>
            <w:u w:val="single" w:color="2205FC"/>
          </w:rPr>
          <w:t>Decisão STF nº ADI nº 6441</w:t>
        </w:r>
      </w:hyperlink>
    </w:p>
    <w:p w14:paraId="014EF29E" w14:textId="77777777" w:rsidR="00171869" w:rsidRDefault="00000000">
      <w:pPr>
        <w:spacing w:after="167" w:line="265" w:lineRule="auto"/>
        <w:ind w:left="35" w:hanging="10"/>
      </w:pPr>
      <w:hyperlink r:id="rId15">
        <w:r>
          <w:rPr>
            <w:rFonts w:ascii="Arial" w:eastAsia="Arial" w:hAnsi="Arial" w:cs="Arial"/>
            <w:color w:val="2205FC"/>
            <w:sz w:val="20"/>
            <w:u w:val="single" w:color="2205FC"/>
          </w:rPr>
          <w:t>Decisão STF nº ADI n° 6447</w:t>
        </w:r>
      </w:hyperlink>
    </w:p>
    <w:p w14:paraId="4CBE3632" w14:textId="77777777" w:rsidR="00171869" w:rsidRDefault="00000000">
      <w:pPr>
        <w:spacing w:after="80" w:line="417" w:lineRule="auto"/>
        <w:ind w:left="35" w:right="6368" w:hanging="10"/>
      </w:pPr>
      <w:hyperlink r:id="rId16">
        <w:r>
          <w:rPr>
            <w:rFonts w:ascii="Arial" w:eastAsia="Arial" w:hAnsi="Arial" w:cs="Arial"/>
            <w:color w:val="2205FC"/>
            <w:sz w:val="20"/>
            <w:u w:val="single" w:color="2205FC"/>
          </w:rPr>
          <w:t xml:space="preserve">Decisão TCE-MG nº Consulta n° 1114793 </w:t>
        </w:r>
      </w:hyperlink>
      <w:hyperlink r:id="rId17" w:anchor="DecisaoIntegra">
        <w:r>
          <w:rPr>
            <w:rFonts w:ascii="Arial" w:eastAsia="Arial" w:hAnsi="Arial" w:cs="Arial"/>
            <w:color w:val="2205FC"/>
            <w:sz w:val="20"/>
            <w:u w:val="single" w:color="2205FC"/>
          </w:rPr>
          <w:t>Decisão TCE-PR nº Acórdão n° 3260/2023</w:t>
        </w:r>
      </w:hyperlink>
    </w:p>
    <w:p w14:paraId="3831E8BE" w14:textId="77777777" w:rsidR="00171869" w:rsidRDefault="00000000">
      <w:pPr>
        <w:spacing w:after="158" w:line="251" w:lineRule="auto"/>
        <w:ind w:left="15" w:right="8" w:hanging="10"/>
        <w:jc w:val="both"/>
      </w:pPr>
      <w:r>
        <w:rPr>
          <w:rFonts w:ascii="Arial" w:eastAsia="Arial" w:hAnsi="Arial" w:cs="Arial"/>
          <w:b/>
          <w:sz w:val="20"/>
        </w:rPr>
        <w:t>Legislação relacionada:</w:t>
      </w:r>
    </w:p>
    <w:p w14:paraId="6DBA9863" w14:textId="77777777" w:rsidR="00171869" w:rsidRDefault="00000000">
      <w:pPr>
        <w:spacing w:after="167" w:line="265" w:lineRule="auto"/>
        <w:ind w:left="35" w:hanging="10"/>
      </w:pPr>
      <w:hyperlink r:id="rId18">
        <w:r>
          <w:rPr>
            <w:rFonts w:ascii="Arial" w:eastAsia="Arial" w:hAnsi="Arial" w:cs="Arial"/>
            <w:color w:val="2205FC"/>
            <w:sz w:val="20"/>
            <w:u w:val="single" w:color="2205FC"/>
          </w:rPr>
          <w:t>Lei Complementar nº 173/2020, Art. 8º, § 8º, IX.</w:t>
        </w:r>
      </w:hyperlink>
    </w:p>
    <w:tbl>
      <w:tblPr>
        <w:tblStyle w:val="TableGrid"/>
        <w:tblpPr w:vertAnchor="page" w:horzAnchor="page" w:tblpX="100" w:tblpY="934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171869" w14:paraId="667CA713" w14:textId="77777777">
        <w:trPr>
          <w:trHeight w:val="400"/>
        </w:trPr>
        <w:tc>
          <w:tcPr>
            <w:tcW w:w="500" w:type="dxa"/>
            <w:tcBorders>
              <w:top w:val="nil"/>
              <w:left w:val="nil"/>
              <w:bottom w:val="nil"/>
              <w:right w:val="nil"/>
            </w:tcBorders>
            <w:shd w:val="clear" w:color="auto" w:fill="01447F"/>
          </w:tcPr>
          <w:p w14:paraId="2A75063A" w14:textId="77777777" w:rsidR="00171869" w:rsidRDefault="00000000">
            <w:pPr>
              <w:spacing w:after="0"/>
            </w:pPr>
            <w:r>
              <w:rPr>
                <w:rFonts w:ascii="Arial" w:eastAsia="Arial" w:hAnsi="Arial" w:cs="Arial"/>
                <w:b/>
                <w:color w:val="FFFFFF"/>
                <w:sz w:val="28"/>
              </w:rPr>
              <w:t>3</w:t>
            </w:r>
          </w:p>
        </w:tc>
      </w:tr>
    </w:tbl>
    <w:p w14:paraId="57227318" w14:textId="77777777" w:rsidR="00171869" w:rsidRDefault="00000000">
      <w:pPr>
        <w:spacing w:after="167" w:line="265" w:lineRule="auto"/>
        <w:ind w:left="35" w:hanging="10"/>
      </w:pPr>
      <w:hyperlink r:id="rId19">
        <w:r>
          <w:rPr>
            <w:rFonts w:ascii="Arial" w:eastAsia="Arial" w:hAnsi="Arial" w:cs="Arial"/>
            <w:color w:val="2205FC"/>
            <w:sz w:val="20"/>
            <w:u w:val="single" w:color="2205FC"/>
          </w:rPr>
          <w:t>Lei Complementar nº 191/2022</w:t>
        </w:r>
      </w:hyperlink>
    </w:p>
    <w:p w14:paraId="5FA64ED6" w14:textId="77777777" w:rsidR="00171869" w:rsidRDefault="00000000">
      <w:pPr>
        <w:spacing w:after="167" w:line="265" w:lineRule="auto"/>
        <w:ind w:left="35" w:hanging="10"/>
      </w:pPr>
      <w:hyperlink r:id="rId20">
        <w:r>
          <w:rPr>
            <w:rFonts w:ascii="Arial" w:eastAsia="Arial" w:hAnsi="Arial" w:cs="Arial"/>
            <w:color w:val="2205FC"/>
            <w:sz w:val="20"/>
            <w:u w:val="single" w:color="2205FC"/>
          </w:rPr>
          <w:t>Lei nº 14128/2021, Art. 1º, § .</w:t>
        </w:r>
      </w:hyperlink>
    </w:p>
    <w:p w14:paraId="0A2B4FE5" w14:textId="77777777" w:rsidR="00171869" w:rsidRDefault="00000000">
      <w:pPr>
        <w:spacing w:after="167" w:line="265" w:lineRule="auto"/>
        <w:ind w:left="35" w:hanging="10"/>
      </w:pPr>
      <w:hyperlink r:id="rId21">
        <w:r>
          <w:rPr>
            <w:rFonts w:ascii="Arial" w:eastAsia="Arial" w:hAnsi="Arial" w:cs="Arial"/>
            <w:color w:val="2205FC"/>
            <w:sz w:val="20"/>
            <w:u w:val="single" w:color="2205FC"/>
          </w:rPr>
          <w:t>Resolução nº 296/2016, Art. 264, § 1º.</w:t>
        </w:r>
      </w:hyperlink>
    </w:p>
    <w:p w14:paraId="3AA4CA1A" w14:textId="77777777" w:rsidR="00171869" w:rsidRDefault="00000000">
      <w:pPr>
        <w:spacing w:after="167" w:line="265" w:lineRule="auto"/>
        <w:ind w:left="35" w:hanging="10"/>
      </w:pPr>
      <w:hyperlink r:id="rId22">
        <w:r>
          <w:rPr>
            <w:rFonts w:ascii="Arial" w:eastAsia="Arial" w:hAnsi="Arial" w:cs="Arial"/>
            <w:color w:val="2205FC"/>
            <w:sz w:val="20"/>
            <w:u w:val="single" w:color="2205FC"/>
          </w:rPr>
          <w:t>Lei nº 6456/2019, Art. 2º.</w:t>
        </w:r>
      </w:hyperlink>
    </w:p>
    <w:p w14:paraId="5EEA0CFA" w14:textId="77777777" w:rsidR="00171869" w:rsidRDefault="00000000">
      <w:pPr>
        <w:spacing w:after="167" w:line="265" w:lineRule="auto"/>
        <w:ind w:left="35" w:hanging="10"/>
      </w:pPr>
      <w:hyperlink r:id="rId23">
        <w:r>
          <w:rPr>
            <w:rFonts w:ascii="Arial" w:eastAsia="Arial" w:hAnsi="Arial" w:cs="Arial"/>
            <w:color w:val="2205FC"/>
            <w:sz w:val="20"/>
            <w:u w:val="single" w:color="2205FC"/>
          </w:rPr>
          <w:t>Lei Orgânica nº 0/1993, Art. 124-A.</w:t>
        </w:r>
      </w:hyperlink>
    </w:p>
    <w:p w14:paraId="5400C23D" w14:textId="77777777" w:rsidR="00171869" w:rsidRDefault="00000000">
      <w:pPr>
        <w:spacing w:after="422" w:line="251" w:lineRule="auto"/>
        <w:ind w:left="15" w:right="8" w:hanging="10"/>
        <w:jc w:val="both"/>
      </w:pPr>
      <w:r>
        <w:rPr>
          <w:rFonts w:ascii="Arial" w:eastAsia="Arial" w:hAnsi="Arial" w:cs="Arial"/>
          <w:b/>
          <w:sz w:val="20"/>
        </w:rPr>
        <w:t>CONTAS. PROCESSUAL. SECRETARIA DE ESTADO DE JUSTIÇA E CIDADANIA DO DISTRITO FEDERAL SEJUS. TOMADA DE CONTAS ESPECIAL. TERMO DE FOMENTO. ORGANIZAÇÃO DA SOCIEDADE CIVIL - OSC. MROSC. TERMO DE COMPROMISSO EM AÇÃO COMPENSATÓRIA - TCAC. NOVAÇÃO. PRESTAÇÃO DE CONTAS EXTEMPORÂNEA. ENCERRAMENTO. NECESSIDADE. PERDA DE OBJETO.</w:t>
      </w:r>
    </w:p>
    <w:p w14:paraId="3C287BD2" w14:textId="77777777" w:rsidR="00171869" w:rsidRDefault="00000000">
      <w:pPr>
        <w:numPr>
          <w:ilvl w:val="0"/>
          <w:numId w:val="2"/>
        </w:numPr>
        <w:spacing w:after="0" w:line="243" w:lineRule="auto"/>
        <w:ind w:right="2" w:hanging="10"/>
      </w:pPr>
      <w:r>
        <w:rPr>
          <w:rFonts w:ascii="Arial" w:eastAsia="Arial" w:hAnsi="Arial" w:cs="Arial"/>
          <w:sz w:val="20"/>
        </w:rPr>
        <w:t>A prestação extemporânea das contas relativas a convênio, termo de fomento ou instrumento congênere enseja oencerramento da respectiva Tomada de Contas Especial instaurada em decorrência da omissão no dever de prestar contas (Art. 59, IV, c/c § 4º, da Instrução Normativa nº 3/2021 - TCDF).</w:t>
      </w:r>
    </w:p>
    <w:p w14:paraId="78230313" w14:textId="77777777" w:rsidR="00171869" w:rsidRDefault="00000000">
      <w:pPr>
        <w:numPr>
          <w:ilvl w:val="0"/>
          <w:numId w:val="2"/>
        </w:numPr>
        <w:spacing w:after="3" w:line="251" w:lineRule="auto"/>
        <w:ind w:right="2" w:hanging="10"/>
      </w:pPr>
      <w:r>
        <w:rPr>
          <w:rFonts w:ascii="Arial" w:eastAsia="Arial" w:hAnsi="Arial" w:cs="Arial"/>
          <w:sz w:val="20"/>
        </w:rPr>
        <w:t>O Termo de Compromisso em Ação Compensatória (TCAC), previsto no art. 72, § 2º, da Lei Federal nº 13.019/2014,enquadra-se no conceito de Termo Circunstanciado de Regularização (TCR), para fins da Instrução Normativa nº 3/2021 - TCDF, justificando o encerramento da Tomada de Contas Especial, com fulcro no art. 59, inciso IX, do referido normativo.</w:t>
      </w:r>
    </w:p>
    <w:tbl>
      <w:tblPr>
        <w:tblStyle w:val="TableGrid"/>
        <w:tblW w:w="8617" w:type="dxa"/>
        <w:tblInd w:w="20" w:type="dxa"/>
        <w:tblCellMar>
          <w:top w:w="0" w:type="dxa"/>
          <w:left w:w="0" w:type="dxa"/>
          <w:bottom w:w="0" w:type="dxa"/>
          <w:right w:w="0" w:type="dxa"/>
        </w:tblCellMar>
        <w:tblLook w:val="04A0" w:firstRow="1" w:lastRow="0" w:firstColumn="1" w:lastColumn="0" w:noHBand="0" w:noVBand="1"/>
      </w:tblPr>
      <w:tblGrid>
        <w:gridCol w:w="5080"/>
        <w:gridCol w:w="3537"/>
      </w:tblGrid>
      <w:tr w:rsidR="00171869" w14:paraId="01E0DB7D" w14:textId="77777777">
        <w:trPr>
          <w:trHeight w:val="865"/>
        </w:trPr>
        <w:tc>
          <w:tcPr>
            <w:tcW w:w="5080" w:type="dxa"/>
            <w:tcBorders>
              <w:top w:val="nil"/>
              <w:left w:val="nil"/>
              <w:bottom w:val="nil"/>
              <w:right w:val="nil"/>
            </w:tcBorders>
          </w:tcPr>
          <w:p w14:paraId="7239DD4B" w14:textId="77777777" w:rsidR="00171869" w:rsidRDefault="00000000">
            <w:pPr>
              <w:spacing w:after="52"/>
            </w:pPr>
            <w:r>
              <w:rPr>
                <w:rFonts w:ascii="Arial" w:eastAsia="Arial" w:hAnsi="Arial" w:cs="Arial"/>
                <w:b/>
                <w:sz w:val="20"/>
              </w:rPr>
              <w:t>Relator:</w:t>
            </w:r>
          </w:p>
          <w:p w14:paraId="30EB8DF1" w14:textId="77777777" w:rsidR="00171869" w:rsidRDefault="00000000">
            <w:pPr>
              <w:spacing w:after="132"/>
            </w:pPr>
            <w:r>
              <w:rPr>
                <w:rFonts w:ascii="Arial" w:eastAsia="Arial" w:hAnsi="Arial" w:cs="Arial"/>
                <w:b/>
                <w:sz w:val="20"/>
              </w:rPr>
              <w:t>Vinícius Cardoso De Pinho Fragoso</w:t>
            </w:r>
          </w:p>
          <w:p w14:paraId="57B12E97" w14:textId="77777777" w:rsidR="00171869" w:rsidRDefault="00000000">
            <w:pPr>
              <w:spacing w:after="0"/>
            </w:pPr>
            <w:r>
              <w:rPr>
                <w:rFonts w:ascii="Arial" w:eastAsia="Arial" w:hAnsi="Arial" w:cs="Arial"/>
                <w:b/>
                <w:sz w:val="20"/>
              </w:rPr>
              <w:t>Decisão por unanimidade</w:t>
            </w:r>
          </w:p>
        </w:tc>
        <w:tc>
          <w:tcPr>
            <w:tcW w:w="3537" w:type="dxa"/>
            <w:tcBorders>
              <w:top w:val="nil"/>
              <w:left w:val="nil"/>
              <w:bottom w:val="nil"/>
              <w:right w:val="nil"/>
            </w:tcBorders>
          </w:tcPr>
          <w:p w14:paraId="4355411B" w14:textId="77777777" w:rsidR="00171869" w:rsidRDefault="00000000">
            <w:pPr>
              <w:spacing w:after="52"/>
            </w:pPr>
            <w:r>
              <w:rPr>
                <w:rFonts w:ascii="Arial" w:eastAsia="Arial" w:hAnsi="Arial" w:cs="Arial"/>
                <w:b/>
                <w:sz w:val="20"/>
              </w:rPr>
              <w:t>Sessão:</w:t>
            </w:r>
          </w:p>
          <w:p w14:paraId="38AF7204" w14:textId="77777777" w:rsidR="00171869" w:rsidRDefault="00000000">
            <w:pPr>
              <w:spacing w:after="132"/>
            </w:pPr>
            <w:r>
              <w:rPr>
                <w:rFonts w:ascii="Arial" w:eastAsia="Arial" w:hAnsi="Arial" w:cs="Arial"/>
                <w:b/>
                <w:sz w:val="20"/>
              </w:rPr>
              <w:t>ORDINÁRIA nº 5389, de 31/07/2024.</w:t>
            </w:r>
          </w:p>
          <w:p w14:paraId="3DB5C8B0" w14:textId="77777777" w:rsidR="00171869" w:rsidRDefault="00000000">
            <w:pPr>
              <w:spacing w:after="0"/>
              <w:jc w:val="both"/>
            </w:pPr>
            <w:hyperlink r:id="rId24">
              <w:r>
                <w:rPr>
                  <w:rFonts w:ascii="Arial" w:eastAsia="Arial" w:hAnsi="Arial" w:cs="Arial"/>
                  <w:color w:val="2205FC"/>
                  <w:sz w:val="20"/>
                  <w:u w:val="single" w:color="2205FC"/>
                </w:rPr>
                <w:t>Proc. nº 9333/2021 - Dec. nº 2786/2024</w:t>
              </w:r>
            </w:hyperlink>
          </w:p>
        </w:tc>
      </w:tr>
    </w:tbl>
    <w:p w14:paraId="2A50EBD4" w14:textId="77777777" w:rsidR="00171869" w:rsidRDefault="00000000">
      <w:pPr>
        <w:spacing w:after="158" w:line="251" w:lineRule="auto"/>
        <w:ind w:left="15" w:right="8" w:hanging="10"/>
        <w:jc w:val="both"/>
      </w:pPr>
      <w:r>
        <w:rPr>
          <w:rFonts w:ascii="Arial" w:eastAsia="Arial" w:hAnsi="Arial" w:cs="Arial"/>
          <w:b/>
          <w:sz w:val="20"/>
        </w:rPr>
        <w:t>Legislação relacionada:</w:t>
      </w:r>
    </w:p>
    <w:p w14:paraId="7D73FE4E" w14:textId="77777777" w:rsidR="00171869" w:rsidRDefault="00000000">
      <w:pPr>
        <w:spacing w:after="167" w:line="265" w:lineRule="auto"/>
        <w:ind w:left="35" w:hanging="10"/>
      </w:pPr>
      <w:hyperlink r:id="rId25">
        <w:r>
          <w:rPr>
            <w:rFonts w:ascii="Arial" w:eastAsia="Arial" w:hAnsi="Arial" w:cs="Arial"/>
            <w:color w:val="2205FC"/>
            <w:sz w:val="20"/>
            <w:u w:val="single" w:color="2205FC"/>
          </w:rPr>
          <w:t>Instrução Normativa nº 3/2021, Art. 59, IV.</w:t>
        </w:r>
      </w:hyperlink>
    </w:p>
    <w:p w14:paraId="65EFE275" w14:textId="77777777" w:rsidR="00171869" w:rsidRDefault="00000000">
      <w:pPr>
        <w:spacing w:after="167" w:line="265" w:lineRule="auto"/>
        <w:ind w:left="35" w:hanging="10"/>
      </w:pPr>
      <w:hyperlink r:id="rId26">
        <w:r>
          <w:rPr>
            <w:rFonts w:ascii="Arial" w:eastAsia="Arial" w:hAnsi="Arial" w:cs="Arial"/>
            <w:color w:val="2205FC"/>
            <w:sz w:val="20"/>
            <w:u w:val="single" w:color="2205FC"/>
          </w:rPr>
          <w:t>Instrução Normativa nº 3/2021, Art. 59, § 4º.</w:t>
        </w:r>
      </w:hyperlink>
    </w:p>
    <w:p w14:paraId="3ECF808A" w14:textId="77777777" w:rsidR="00171869" w:rsidRDefault="00000000">
      <w:pPr>
        <w:spacing w:after="167" w:line="265" w:lineRule="auto"/>
        <w:ind w:left="35" w:hanging="10"/>
      </w:pPr>
      <w:hyperlink r:id="rId27">
        <w:r>
          <w:rPr>
            <w:rFonts w:ascii="Arial" w:eastAsia="Arial" w:hAnsi="Arial" w:cs="Arial"/>
            <w:color w:val="2205FC"/>
            <w:sz w:val="20"/>
            <w:u w:val="single" w:color="2205FC"/>
          </w:rPr>
          <w:t>Lei nº 13019/2014, Art. 72, § 2º.</w:t>
        </w:r>
      </w:hyperlink>
    </w:p>
    <w:p w14:paraId="39830666" w14:textId="77777777" w:rsidR="00171869" w:rsidRDefault="00000000">
      <w:pPr>
        <w:spacing w:after="167" w:line="265" w:lineRule="auto"/>
        <w:ind w:left="35" w:hanging="10"/>
      </w:pPr>
      <w:hyperlink r:id="rId28">
        <w:r>
          <w:rPr>
            <w:rFonts w:ascii="Arial" w:eastAsia="Arial" w:hAnsi="Arial" w:cs="Arial"/>
            <w:color w:val="2205FC"/>
            <w:sz w:val="20"/>
            <w:u w:val="single" w:color="2205FC"/>
          </w:rPr>
          <w:t>Decreto nº 37843/2016, Art. 61.</w:t>
        </w:r>
      </w:hyperlink>
    </w:p>
    <w:p w14:paraId="72994FD8" w14:textId="77777777" w:rsidR="00171869" w:rsidRDefault="00000000">
      <w:pPr>
        <w:spacing w:after="167" w:line="265" w:lineRule="auto"/>
        <w:ind w:left="35" w:hanging="10"/>
      </w:pPr>
      <w:hyperlink r:id="rId29">
        <w:r>
          <w:rPr>
            <w:rFonts w:ascii="Arial" w:eastAsia="Arial" w:hAnsi="Arial" w:cs="Arial"/>
            <w:color w:val="2205FC"/>
            <w:sz w:val="20"/>
            <w:u w:val="single" w:color="2205FC"/>
          </w:rPr>
          <w:t>Decreto nº 37843/2016, Art. 62.</w:t>
        </w:r>
      </w:hyperlink>
    </w:p>
    <w:p w14:paraId="7E98F4AC" w14:textId="77777777" w:rsidR="00171869" w:rsidRDefault="00000000">
      <w:pPr>
        <w:spacing w:after="167" w:line="265" w:lineRule="auto"/>
        <w:ind w:left="35" w:hanging="10"/>
      </w:pPr>
      <w:hyperlink r:id="rId30">
        <w:r>
          <w:rPr>
            <w:rFonts w:ascii="Arial" w:eastAsia="Arial" w:hAnsi="Arial" w:cs="Arial"/>
            <w:color w:val="2205FC"/>
            <w:sz w:val="20"/>
            <w:u w:val="single" w:color="2205FC"/>
          </w:rPr>
          <w:t>Decreto nº 37843/2016, Art. 63.</w:t>
        </w:r>
      </w:hyperlink>
    </w:p>
    <w:p w14:paraId="4CEF5734" w14:textId="77777777" w:rsidR="00171869" w:rsidRDefault="00000000">
      <w:pPr>
        <w:spacing w:after="167" w:line="265" w:lineRule="auto"/>
        <w:ind w:left="35" w:hanging="10"/>
      </w:pPr>
      <w:hyperlink r:id="rId31">
        <w:r>
          <w:rPr>
            <w:rFonts w:ascii="Arial" w:eastAsia="Arial" w:hAnsi="Arial" w:cs="Arial"/>
            <w:color w:val="2205FC"/>
            <w:sz w:val="20"/>
            <w:u w:val="single" w:color="2205FC"/>
          </w:rPr>
          <w:t>Decreto nº 37843/2016, Art. 67.</w:t>
        </w:r>
      </w:hyperlink>
    </w:p>
    <w:p w14:paraId="14F15550" w14:textId="77777777" w:rsidR="00171869" w:rsidRDefault="00000000">
      <w:pPr>
        <w:spacing w:after="167" w:line="265" w:lineRule="auto"/>
        <w:ind w:left="35" w:hanging="10"/>
      </w:pPr>
      <w:hyperlink r:id="rId32">
        <w:r>
          <w:rPr>
            <w:rFonts w:ascii="Arial" w:eastAsia="Arial" w:hAnsi="Arial" w:cs="Arial"/>
            <w:color w:val="2205FC"/>
            <w:sz w:val="20"/>
            <w:u w:val="single" w:color="2205FC"/>
          </w:rPr>
          <w:t>Lei nº 10406/2002, Art. 364.</w:t>
        </w:r>
      </w:hyperlink>
    </w:p>
    <w:p w14:paraId="0962955D" w14:textId="77777777" w:rsidR="00171869" w:rsidRDefault="00000000">
      <w:pPr>
        <w:spacing w:after="167" w:line="265" w:lineRule="auto"/>
        <w:ind w:left="35" w:hanging="10"/>
      </w:pPr>
      <w:hyperlink r:id="rId33">
        <w:r>
          <w:rPr>
            <w:rFonts w:ascii="Arial" w:eastAsia="Arial" w:hAnsi="Arial" w:cs="Arial"/>
            <w:color w:val="2205FC"/>
            <w:sz w:val="20"/>
            <w:u w:val="single" w:color="2205FC"/>
          </w:rPr>
          <w:t>Lei nº 10406/2002, Art. 360.</w:t>
        </w:r>
      </w:hyperlink>
    </w:p>
    <w:p w14:paraId="2608C636" w14:textId="77777777" w:rsidR="00171869" w:rsidRDefault="00000000">
      <w:pPr>
        <w:spacing w:after="167" w:line="265" w:lineRule="auto"/>
        <w:ind w:left="35" w:hanging="10"/>
      </w:pPr>
      <w:hyperlink r:id="rId34">
        <w:r>
          <w:rPr>
            <w:rFonts w:ascii="Arial" w:eastAsia="Arial" w:hAnsi="Arial" w:cs="Arial"/>
            <w:color w:val="2205FC"/>
            <w:sz w:val="20"/>
            <w:u w:val="single" w:color="2205FC"/>
          </w:rPr>
          <w:t>Lei nº 10406/2002, Art. 361.</w:t>
        </w:r>
      </w:hyperlink>
    </w:p>
    <w:p w14:paraId="39A8CCA6" w14:textId="77777777" w:rsidR="00171869" w:rsidRDefault="00000000">
      <w:pPr>
        <w:spacing w:after="167" w:line="265" w:lineRule="auto"/>
        <w:ind w:left="35" w:hanging="10"/>
      </w:pPr>
      <w:hyperlink r:id="rId35">
        <w:r>
          <w:rPr>
            <w:rFonts w:ascii="Arial" w:eastAsia="Arial" w:hAnsi="Arial" w:cs="Arial"/>
            <w:color w:val="2205FC"/>
            <w:sz w:val="20"/>
            <w:u w:val="single" w:color="2205FC"/>
          </w:rPr>
          <w:t>Lei nº 10406/2002, Art. 362.</w:t>
        </w:r>
      </w:hyperlink>
    </w:p>
    <w:p w14:paraId="1BBFDDA4" w14:textId="77777777" w:rsidR="00171869" w:rsidRDefault="00000000">
      <w:pPr>
        <w:spacing w:after="167" w:line="265" w:lineRule="auto"/>
        <w:ind w:left="35" w:hanging="10"/>
      </w:pPr>
      <w:hyperlink r:id="rId36">
        <w:r>
          <w:rPr>
            <w:rFonts w:ascii="Arial" w:eastAsia="Arial" w:hAnsi="Arial" w:cs="Arial"/>
            <w:color w:val="2205FC"/>
            <w:sz w:val="20"/>
            <w:u w:val="single" w:color="2205FC"/>
          </w:rPr>
          <w:t>Lei nº 10406/2002, Art. 363.</w:t>
        </w:r>
      </w:hyperlink>
    </w:p>
    <w:p w14:paraId="2AA68E2F" w14:textId="77777777" w:rsidR="00171869" w:rsidRDefault="00000000">
      <w:pPr>
        <w:spacing w:after="167" w:line="265" w:lineRule="auto"/>
        <w:ind w:left="35" w:hanging="10"/>
      </w:pPr>
      <w:hyperlink r:id="rId37">
        <w:r>
          <w:rPr>
            <w:rFonts w:ascii="Arial" w:eastAsia="Arial" w:hAnsi="Arial" w:cs="Arial"/>
            <w:color w:val="2205FC"/>
            <w:sz w:val="20"/>
            <w:u w:val="single" w:color="2205FC"/>
          </w:rPr>
          <w:t>Lei nº 10406/2002, Art. 365.</w:t>
        </w:r>
      </w:hyperlink>
    </w:p>
    <w:p w14:paraId="52A95DFD" w14:textId="77777777" w:rsidR="00171869" w:rsidRDefault="00000000">
      <w:pPr>
        <w:spacing w:after="0" w:line="438" w:lineRule="auto"/>
        <w:ind w:left="35" w:right="8070" w:hanging="10"/>
      </w:pPr>
      <w:hyperlink r:id="rId38">
        <w:r>
          <w:rPr>
            <w:rFonts w:ascii="Arial" w:eastAsia="Arial" w:hAnsi="Arial" w:cs="Arial"/>
            <w:color w:val="2205FC"/>
            <w:sz w:val="20"/>
            <w:u w:val="single" w:color="2205FC"/>
          </w:rPr>
          <w:t xml:space="preserve">Lei nº 10406/2002, Art. 366. </w:t>
        </w:r>
      </w:hyperlink>
      <w:hyperlink r:id="rId39">
        <w:r>
          <w:rPr>
            <w:rFonts w:ascii="Arial" w:eastAsia="Arial" w:hAnsi="Arial" w:cs="Arial"/>
            <w:color w:val="2205FC"/>
            <w:sz w:val="20"/>
            <w:u w:val="single" w:color="2205FC"/>
          </w:rPr>
          <w:t>Lei nº 10406/2002, Art. 367.</w:t>
        </w:r>
      </w:hyperlink>
    </w:p>
    <w:p w14:paraId="4687A699" w14:textId="77777777" w:rsidR="00171869" w:rsidRDefault="00000000">
      <w:pPr>
        <w:spacing w:after="0" w:line="251" w:lineRule="auto"/>
        <w:ind w:left="15" w:right="8" w:hanging="10"/>
        <w:jc w:val="both"/>
      </w:pPr>
      <w:r>
        <w:rPr>
          <w:rFonts w:ascii="Arial" w:eastAsia="Arial" w:hAnsi="Arial" w:cs="Arial"/>
          <w:b/>
          <w:sz w:val="20"/>
        </w:rPr>
        <w:t>CONTAS. PROCESSUAL. SECRETARIA DE ESTADO DE JUSTIÇA E CIDADANIA DO DISTRITO FEDERAL SEJUS. SECRETARIA DE ESTADO DE POLÍTICAS PARA AS  CRIANÇAS, ADOLESCENTES E JUVENTUDE SECRIANÇA. TOMADA DE CONTAS ESPECIAL. TERMO DE FOMENTO. ORGANIZAÇÃO DA SOCIEDADE CIVIL.</w:t>
      </w:r>
    </w:p>
    <w:p w14:paraId="5D0F26CE" w14:textId="77777777" w:rsidR="00171869" w:rsidRDefault="00000000">
      <w:pPr>
        <w:spacing w:after="0" w:line="251" w:lineRule="auto"/>
        <w:ind w:left="15" w:right="8" w:hanging="10"/>
        <w:jc w:val="both"/>
      </w:pPr>
      <w:r>
        <w:rPr>
          <w:rFonts w:ascii="Arial" w:eastAsia="Arial" w:hAnsi="Arial" w:cs="Arial"/>
          <w:b/>
          <w:sz w:val="20"/>
        </w:rPr>
        <w:t>MROSC. CITAÇÃO.  AUDIÊNCIA. ALEGAÇÕES DE DEFESA. RAZÕES DE JUSTIFICATIVA. PRESTAÇÃO DE CONTAS. ÔNUS DE COMPROVAÇÃO DA BOA E REGULAR APLICAÇÃO DOS RECURSOS. INSUFICIÊNCIA.</w:t>
      </w:r>
    </w:p>
    <w:tbl>
      <w:tblPr>
        <w:tblStyle w:val="TableGrid"/>
        <w:tblpPr w:vertAnchor="page" w:horzAnchor="page" w:tblpX="100" w:tblpY="628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171869" w14:paraId="10E1114F" w14:textId="77777777">
        <w:trPr>
          <w:trHeight w:val="400"/>
        </w:trPr>
        <w:tc>
          <w:tcPr>
            <w:tcW w:w="500" w:type="dxa"/>
            <w:tcBorders>
              <w:top w:val="nil"/>
              <w:left w:val="nil"/>
              <w:bottom w:val="nil"/>
              <w:right w:val="nil"/>
            </w:tcBorders>
            <w:shd w:val="clear" w:color="auto" w:fill="01447F"/>
          </w:tcPr>
          <w:p w14:paraId="295083E8" w14:textId="77777777" w:rsidR="00171869" w:rsidRDefault="00000000">
            <w:pPr>
              <w:spacing w:after="0"/>
            </w:pPr>
            <w:r>
              <w:rPr>
                <w:rFonts w:ascii="Arial" w:eastAsia="Arial" w:hAnsi="Arial" w:cs="Arial"/>
                <w:b/>
                <w:color w:val="FFFFFF"/>
                <w:sz w:val="28"/>
              </w:rPr>
              <w:t>4</w:t>
            </w:r>
          </w:p>
        </w:tc>
      </w:tr>
    </w:tbl>
    <w:tbl>
      <w:tblPr>
        <w:tblStyle w:val="TableGrid"/>
        <w:tblpPr w:vertAnchor="page" w:horzAnchor="page" w:tblpX="100" w:tblpY="1386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171869" w14:paraId="30866D7A" w14:textId="77777777">
        <w:trPr>
          <w:trHeight w:val="400"/>
        </w:trPr>
        <w:tc>
          <w:tcPr>
            <w:tcW w:w="500" w:type="dxa"/>
            <w:tcBorders>
              <w:top w:val="nil"/>
              <w:left w:val="nil"/>
              <w:bottom w:val="nil"/>
              <w:right w:val="nil"/>
            </w:tcBorders>
            <w:shd w:val="clear" w:color="auto" w:fill="01447F"/>
          </w:tcPr>
          <w:p w14:paraId="2561B5C1" w14:textId="77777777" w:rsidR="00171869" w:rsidRDefault="00000000">
            <w:pPr>
              <w:spacing w:after="0"/>
            </w:pPr>
            <w:r>
              <w:rPr>
                <w:rFonts w:ascii="Arial" w:eastAsia="Arial" w:hAnsi="Arial" w:cs="Arial"/>
                <w:b/>
                <w:color w:val="FFFFFF"/>
                <w:sz w:val="28"/>
              </w:rPr>
              <w:t>5</w:t>
            </w:r>
          </w:p>
        </w:tc>
      </w:tr>
    </w:tbl>
    <w:p w14:paraId="3022BC49" w14:textId="77777777" w:rsidR="00171869" w:rsidRDefault="00000000">
      <w:pPr>
        <w:spacing w:after="423" w:line="251" w:lineRule="auto"/>
        <w:ind w:left="15" w:right="8" w:hanging="10"/>
        <w:jc w:val="both"/>
      </w:pPr>
      <w:r>
        <w:rPr>
          <w:rFonts w:ascii="Arial" w:eastAsia="Arial" w:hAnsi="Arial" w:cs="Arial"/>
          <w:b/>
          <w:sz w:val="20"/>
        </w:rPr>
        <w:t>INDÍCIO DE DANO. JUROS DE MORA. CIENTIFICAÇÃO PARA PAGAMENTO. INAPLICÁVEL. FALTA DE CONHECIMENTO TÉCNICO E   FINANCEIRO. MERA ALEGAÇÃO QUE NÃO AFASTA A RESPONSABILIZAÇÃO.</w:t>
      </w:r>
    </w:p>
    <w:p w14:paraId="3F9E03A0" w14:textId="77777777" w:rsidR="00171869" w:rsidRDefault="00000000">
      <w:pPr>
        <w:numPr>
          <w:ilvl w:val="0"/>
          <w:numId w:val="3"/>
        </w:numPr>
        <w:spacing w:after="3" w:line="251" w:lineRule="auto"/>
        <w:ind w:right="8" w:hanging="10"/>
        <w:jc w:val="both"/>
      </w:pPr>
      <w:r>
        <w:rPr>
          <w:rFonts w:ascii="Arial" w:eastAsia="Arial" w:hAnsi="Arial" w:cs="Arial"/>
          <w:sz w:val="20"/>
        </w:rPr>
        <w:t>O ônus de comprovar a boa e regular aplicação dos recursos públicos repassados e a execução das atividadespactuadas, com fulcro na Lei Federal nº 13.019/2014, recai sobre a Organização da Sociedade Civil, de forma que a insuficiência na prestação de contas configura descumprimento do ajuste e dano ao erário (Art. 64, caput e §1º, da Lei Federal nº 13.019/2014).</w:t>
      </w:r>
    </w:p>
    <w:p w14:paraId="2BFDF96D" w14:textId="77777777" w:rsidR="00171869" w:rsidRDefault="00000000">
      <w:pPr>
        <w:numPr>
          <w:ilvl w:val="0"/>
          <w:numId w:val="3"/>
        </w:numPr>
        <w:spacing w:after="0" w:line="243" w:lineRule="auto"/>
        <w:ind w:right="8" w:hanging="10"/>
        <w:jc w:val="both"/>
      </w:pPr>
      <w:r>
        <w:rPr>
          <w:rFonts w:ascii="Arial" w:eastAsia="Arial" w:hAnsi="Arial" w:cs="Arial"/>
          <w:sz w:val="20"/>
        </w:rPr>
        <w:t>A fase processual consubstanciada na rejeição das Alegações de Defesa e na cientificação do responsável para orecolhimento do prejuízo apurado não comporta a incidência de juros de mora sobre o valor do débito imputado, nos termos do §3º do art. 198 do Regimento Interno (Art. 198, §§1º a 6º, do Regimento Interno).</w:t>
      </w:r>
    </w:p>
    <w:p w14:paraId="49569E71" w14:textId="77777777" w:rsidR="00171869" w:rsidRDefault="00000000">
      <w:pPr>
        <w:numPr>
          <w:ilvl w:val="0"/>
          <w:numId w:val="3"/>
        </w:numPr>
        <w:spacing w:after="398" w:line="251" w:lineRule="auto"/>
        <w:ind w:right="8" w:hanging="10"/>
        <w:jc w:val="both"/>
      </w:pPr>
      <w:r>
        <w:rPr>
          <w:rFonts w:ascii="Arial" w:eastAsia="Arial" w:hAnsi="Arial" w:cs="Arial"/>
          <w:sz w:val="20"/>
        </w:rPr>
        <w:t>A mera alegação de falta de conhecimento técnico e/ou financeiro, por parte do gestor, após a ocorrência de eventodanoso ou ilícito, não afasta a responsabilização decorrente do dano ao erário ou da ilegalidade cometida, tendo em vista o dever de atualização constante dos conhecimentos do servidor (Art. 180, II, Lei Complementar nº 840/2011).</w:t>
      </w:r>
    </w:p>
    <w:tbl>
      <w:tblPr>
        <w:tblStyle w:val="TableGrid"/>
        <w:tblW w:w="8728" w:type="dxa"/>
        <w:tblInd w:w="20" w:type="dxa"/>
        <w:tblCellMar>
          <w:top w:w="0" w:type="dxa"/>
          <w:left w:w="0" w:type="dxa"/>
          <w:bottom w:w="0" w:type="dxa"/>
          <w:right w:w="0" w:type="dxa"/>
        </w:tblCellMar>
        <w:tblLook w:val="04A0" w:firstRow="1" w:lastRow="0" w:firstColumn="1" w:lastColumn="0" w:noHBand="0" w:noVBand="1"/>
      </w:tblPr>
      <w:tblGrid>
        <w:gridCol w:w="5080"/>
        <w:gridCol w:w="3648"/>
      </w:tblGrid>
      <w:tr w:rsidR="00171869" w14:paraId="4DE430D2" w14:textId="77777777">
        <w:trPr>
          <w:trHeight w:val="865"/>
        </w:trPr>
        <w:tc>
          <w:tcPr>
            <w:tcW w:w="5080" w:type="dxa"/>
            <w:tcBorders>
              <w:top w:val="nil"/>
              <w:left w:val="nil"/>
              <w:bottom w:val="nil"/>
              <w:right w:val="nil"/>
            </w:tcBorders>
          </w:tcPr>
          <w:p w14:paraId="1B0938B5" w14:textId="77777777" w:rsidR="00171869" w:rsidRDefault="00000000">
            <w:pPr>
              <w:spacing w:after="52"/>
            </w:pPr>
            <w:r>
              <w:rPr>
                <w:rFonts w:ascii="Arial" w:eastAsia="Arial" w:hAnsi="Arial" w:cs="Arial"/>
                <w:b/>
                <w:sz w:val="20"/>
              </w:rPr>
              <w:t>Relator:</w:t>
            </w:r>
          </w:p>
          <w:p w14:paraId="4BD1418F" w14:textId="77777777" w:rsidR="00171869" w:rsidRDefault="00000000">
            <w:pPr>
              <w:spacing w:after="132"/>
            </w:pPr>
            <w:r>
              <w:rPr>
                <w:rFonts w:ascii="Arial" w:eastAsia="Arial" w:hAnsi="Arial" w:cs="Arial"/>
                <w:b/>
                <w:sz w:val="20"/>
              </w:rPr>
              <w:t>Vinícius Cardoso De Pinho Fragoso</w:t>
            </w:r>
          </w:p>
          <w:p w14:paraId="35CCE191" w14:textId="77777777" w:rsidR="00171869" w:rsidRDefault="00000000">
            <w:pPr>
              <w:spacing w:after="0"/>
            </w:pPr>
            <w:r>
              <w:rPr>
                <w:rFonts w:ascii="Arial" w:eastAsia="Arial" w:hAnsi="Arial" w:cs="Arial"/>
                <w:b/>
                <w:sz w:val="20"/>
              </w:rPr>
              <w:t>Decisão por unanimidade</w:t>
            </w:r>
          </w:p>
        </w:tc>
        <w:tc>
          <w:tcPr>
            <w:tcW w:w="3648" w:type="dxa"/>
            <w:tcBorders>
              <w:top w:val="nil"/>
              <w:left w:val="nil"/>
              <w:bottom w:val="nil"/>
              <w:right w:val="nil"/>
            </w:tcBorders>
          </w:tcPr>
          <w:p w14:paraId="0FF6509E" w14:textId="77777777" w:rsidR="00171869" w:rsidRDefault="00000000">
            <w:pPr>
              <w:spacing w:after="52"/>
            </w:pPr>
            <w:r>
              <w:rPr>
                <w:rFonts w:ascii="Arial" w:eastAsia="Arial" w:hAnsi="Arial" w:cs="Arial"/>
                <w:b/>
                <w:sz w:val="20"/>
              </w:rPr>
              <w:t>Sessão:</w:t>
            </w:r>
          </w:p>
          <w:p w14:paraId="777F882C" w14:textId="77777777" w:rsidR="00171869" w:rsidRDefault="00000000">
            <w:pPr>
              <w:spacing w:after="132"/>
            </w:pPr>
            <w:r>
              <w:rPr>
                <w:rFonts w:ascii="Arial" w:eastAsia="Arial" w:hAnsi="Arial" w:cs="Arial"/>
                <w:b/>
                <w:sz w:val="20"/>
              </w:rPr>
              <w:t>ORDINÁRIA nº 5390, de 07/08/2024.</w:t>
            </w:r>
          </w:p>
          <w:p w14:paraId="72980AD3" w14:textId="77777777" w:rsidR="00171869" w:rsidRDefault="00000000">
            <w:pPr>
              <w:spacing w:after="0"/>
              <w:jc w:val="both"/>
            </w:pPr>
            <w:hyperlink r:id="rId40">
              <w:r>
                <w:rPr>
                  <w:rFonts w:ascii="Arial" w:eastAsia="Arial" w:hAnsi="Arial" w:cs="Arial"/>
                  <w:color w:val="2205FC"/>
                  <w:sz w:val="20"/>
                  <w:u w:val="single" w:color="2205FC"/>
                </w:rPr>
                <w:t>Proc. nº 13399/2022 - Dec. nº 2912/2024</w:t>
              </w:r>
            </w:hyperlink>
          </w:p>
        </w:tc>
      </w:tr>
    </w:tbl>
    <w:p w14:paraId="4631BEFB" w14:textId="77777777" w:rsidR="00171869" w:rsidRDefault="00000000">
      <w:pPr>
        <w:spacing w:after="158" w:line="251" w:lineRule="auto"/>
        <w:ind w:left="15" w:right="8" w:hanging="10"/>
        <w:jc w:val="both"/>
      </w:pPr>
      <w:r>
        <w:rPr>
          <w:rFonts w:ascii="Arial" w:eastAsia="Arial" w:hAnsi="Arial" w:cs="Arial"/>
          <w:b/>
          <w:sz w:val="20"/>
        </w:rPr>
        <w:t>Legislação relacionada:</w:t>
      </w:r>
    </w:p>
    <w:p w14:paraId="7D788317" w14:textId="77777777" w:rsidR="00171869" w:rsidRDefault="00000000">
      <w:pPr>
        <w:spacing w:after="167" w:line="265" w:lineRule="auto"/>
        <w:ind w:left="35" w:hanging="10"/>
      </w:pPr>
      <w:hyperlink r:id="rId41">
        <w:r>
          <w:rPr>
            <w:rFonts w:ascii="Arial" w:eastAsia="Arial" w:hAnsi="Arial" w:cs="Arial"/>
            <w:color w:val="2205FC"/>
            <w:sz w:val="20"/>
            <w:u w:val="single" w:color="2205FC"/>
          </w:rPr>
          <w:t>Lei nº 13019/2014, Art. 64.</w:t>
        </w:r>
      </w:hyperlink>
    </w:p>
    <w:p w14:paraId="1349F661" w14:textId="77777777" w:rsidR="00171869" w:rsidRDefault="00000000">
      <w:pPr>
        <w:spacing w:after="167" w:line="265" w:lineRule="auto"/>
        <w:ind w:left="35" w:hanging="10"/>
      </w:pPr>
      <w:hyperlink r:id="rId42">
        <w:r>
          <w:rPr>
            <w:rFonts w:ascii="Arial" w:eastAsia="Arial" w:hAnsi="Arial" w:cs="Arial"/>
            <w:color w:val="2205FC"/>
            <w:sz w:val="20"/>
            <w:u w:val="single" w:color="2205FC"/>
          </w:rPr>
          <w:t>Lei Complementar nº 840/2011, Art. 180.</w:t>
        </w:r>
      </w:hyperlink>
    </w:p>
    <w:p w14:paraId="177DA5CE" w14:textId="77777777" w:rsidR="00171869" w:rsidRDefault="00000000">
      <w:pPr>
        <w:spacing w:after="158" w:line="251" w:lineRule="auto"/>
        <w:ind w:left="15" w:right="8" w:hanging="10"/>
        <w:jc w:val="both"/>
      </w:pPr>
      <w:r>
        <w:rPr>
          <w:rFonts w:ascii="Arial" w:eastAsia="Arial" w:hAnsi="Arial" w:cs="Arial"/>
          <w:b/>
          <w:sz w:val="20"/>
        </w:rPr>
        <w:t>REPRESENTAÇÃO. SECRETARIA DE DESENVOLVIMENTO SOCIAL - SEDES/DF. POSSÍVEIS IRREGULARIDADES NA CONDUÇÃO DE PROCESSO DE PRESTAÇÃO DE CONTAS. CONVÊNIO N.º 36/2009. SERVIÇO DE CONVIVÊNCIA A CRIANÇAS PERTENCENTES A FAMÍLIAS EM SITUAÇÃO DE RISCO E VULNERABILIDADE PESSOAL E SOCIAL. INSCRIÇÃO NO SIGGO. PARCERIA PÚBLICA EM EXECUÇÃO. SUSPENSÃO DOS REPASSES. AUTORIZAÇÃO DA MANUTENÇÃO. SOBRESTAMENTO DO FEITO.</w:t>
      </w:r>
    </w:p>
    <w:p w14:paraId="4A4E9D03" w14:textId="77777777" w:rsidR="00171869" w:rsidRDefault="00000000">
      <w:pPr>
        <w:numPr>
          <w:ilvl w:val="0"/>
          <w:numId w:val="4"/>
        </w:numPr>
        <w:spacing w:after="3" w:line="251" w:lineRule="auto"/>
        <w:ind w:right="8" w:hanging="10"/>
        <w:jc w:val="both"/>
      </w:pPr>
      <w:r>
        <w:rPr>
          <w:rFonts w:ascii="Arial" w:eastAsia="Arial" w:hAnsi="Arial" w:cs="Arial"/>
          <w:sz w:val="20"/>
        </w:rPr>
        <w:t>A despeito da independência das instâncias, a pendência de processo judicial com idênticos pedido e causa de pedir,notadamente se em avançado estágio processual, pode ser justificativa ao sobrestamento do processo neste Tribunal de Contas, a fim de evitar decisões conflitantes.</w:t>
      </w:r>
    </w:p>
    <w:p w14:paraId="44EA5960" w14:textId="77777777" w:rsidR="00171869" w:rsidRDefault="00000000">
      <w:pPr>
        <w:numPr>
          <w:ilvl w:val="0"/>
          <w:numId w:val="4"/>
        </w:numPr>
        <w:spacing w:after="3" w:line="251" w:lineRule="auto"/>
        <w:ind w:right="8" w:hanging="10"/>
        <w:jc w:val="both"/>
      </w:pPr>
      <w:r>
        <w:rPr>
          <w:rFonts w:ascii="Arial" w:eastAsia="Arial" w:hAnsi="Arial" w:cs="Arial"/>
          <w:sz w:val="20"/>
        </w:rPr>
        <w:t>A existência de decisões judiciais não transitadas em julgado em sentido contrário ao objeto da Representação afastao fumus boni iuris para o deferimento ou manutenção de medida cautelar por este Tribunal de Contas.</w:t>
      </w:r>
    </w:p>
    <w:p w14:paraId="6D73972E" w14:textId="77777777" w:rsidR="00171869" w:rsidRDefault="00000000">
      <w:pPr>
        <w:numPr>
          <w:ilvl w:val="0"/>
          <w:numId w:val="4"/>
        </w:numPr>
        <w:spacing w:after="411" w:line="251" w:lineRule="auto"/>
        <w:ind w:right="8" w:hanging="10"/>
        <w:jc w:val="both"/>
      </w:pPr>
      <w:r>
        <w:rPr>
          <w:rFonts w:ascii="Arial" w:eastAsia="Arial" w:hAnsi="Arial" w:cs="Arial"/>
          <w:sz w:val="20"/>
        </w:rPr>
        <w:t>Na hipótese de Organização da Sociedade Civil que, a despeito da sua inscrição como inadimplente no Siggo, possuirparceria pública em execução, cuja suspensão da transferência de novos recursos poderá ocasionar em prejuízo à população, sobretudo vulnerável, a manutenção dos repasses poderá ser autorizada por meio do dirigente máximo do órgão ou entidade da administração pública, na forma do art. 39 § 1º, da Lei n.º 13.019/14 - MROSC.</w:t>
      </w:r>
    </w:p>
    <w:tbl>
      <w:tblPr>
        <w:tblStyle w:val="TableGrid"/>
        <w:tblW w:w="8728" w:type="dxa"/>
        <w:tblInd w:w="20" w:type="dxa"/>
        <w:tblCellMar>
          <w:top w:w="0" w:type="dxa"/>
          <w:left w:w="0" w:type="dxa"/>
          <w:bottom w:w="0" w:type="dxa"/>
          <w:right w:w="0" w:type="dxa"/>
        </w:tblCellMar>
        <w:tblLook w:val="04A0" w:firstRow="1" w:lastRow="0" w:firstColumn="1" w:lastColumn="0" w:noHBand="0" w:noVBand="1"/>
      </w:tblPr>
      <w:tblGrid>
        <w:gridCol w:w="5080"/>
        <w:gridCol w:w="3648"/>
      </w:tblGrid>
      <w:tr w:rsidR="00171869" w14:paraId="58C12CB6" w14:textId="77777777">
        <w:trPr>
          <w:trHeight w:val="865"/>
        </w:trPr>
        <w:tc>
          <w:tcPr>
            <w:tcW w:w="5080" w:type="dxa"/>
            <w:tcBorders>
              <w:top w:val="nil"/>
              <w:left w:val="nil"/>
              <w:bottom w:val="nil"/>
              <w:right w:val="nil"/>
            </w:tcBorders>
          </w:tcPr>
          <w:p w14:paraId="067BC1B7" w14:textId="77777777" w:rsidR="00171869" w:rsidRDefault="00000000">
            <w:pPr>
              <w:spacing w:after="52"/>
            </w:pPr>
            <w:r>
              <w:rPr>
                <w:rFonts w:ascii="Arial" w:eastAsia="Arial" w:hAnsi="Arial" w:cs="Arial"/>
                <w:b/>
                <w:sz w:val="20"/>
              </w:rPr>
              <w:t>Relator:</w:t>
            </w:r>
          </w:p>
          <w:p w14:paraId="54C342A6" w14:textId="77777777" w:rsidR="00171869" w:rsidRDefault="00000000">
            <w:pPr>
              <w:spacing w:after="132"/>
            </w:pPr>
            <w:r>
              <w:rPr>
                <w:rFonts w:ascii="Arial" w:eastAsia="Arial" w:hAnsi="Arial" w:cs="Arial"/>
                <w:b/>
                <w:sz w:val="20"/>
              </w:rPr>
              <w:t>André Clemente Lara De Oliveira</w:t>
            </w:r>
          </w:p>
          <w:p w14:paraId="61E0CAD8" w14:textId="77777777" w:rsidR="00171869" w:rsidRDefault="00000000">
            <w:pPr>
              <w:spacing w:after="0"/>
            </w:pPr>
            <w:r>
              <w:rPr>
                <w:rFonts w:ascii="Arial" w:eastAsia="Arial" w:hAnsi="Arial" w:cs="Arial"/>
                <w:b/>
                <w:sz w:val="20"/>
              </w:rPr>
              <w:t>Decisão por unanimidade</w:t>
            </w:r>
          </w:p>
        </w:tc>
        <w:tc>
          <w:tcPr>
            <w:tcW w:w="3648" w:type="dxa"/>
            <w:tcBorders>
              <w:top w:val="nil"/>
              <w:left w:val="nil"/>
              <w:bottom w:val="nil"/>
              <w:right w:val="nil"/>
            </w:tcBorders>
          </w:tcPr>
          <w:p w14:paraId="07D2B9EE" w14:textId="77777777" w:rsidR="00171869" w:rsidRDefault="00000000">
            <w:pPr>
              <w:spacing w:after="52"/>
            </w:pPr>
            <w:r>
              <w:rPr>
                <w:rFonts w:ascii="Arial" w:eastAsia="Arial" w:hAnsi="Arial" w:cs="Arial"/>
                <w:b/>
                <w:sz w:val="20"/>
              </w:rPr>
              <w:t>Sessão:</w:t>
            </w:r>
          </w:p>
          <w:p w14:paraId="3A33A3CC" w14:textId="77777777" w:rsidR="00171869" w:rsidRDefault="00000000">
            <w:pPr>
              <w:spacing w:after="132"/>
            </w:pPr>
            <w:r>
              <w:rPr>
                <w:rFonts w:ascii="Arial" w:eastAsia="Arial" w:hAnsi="Arial" w:cs="Arial"/>
                <w:b/>
                <w:sz w:val="20"/>
              </w:rPr>
              <w:t>ORDINÁRIA nº 5397, de 25/09/2024.</w:t>
            </w:r>
          </w:p>
          <w:p w14:paraId="6A1F95C2" w14:textId="77777777" w:rsidR="00171869" w:rsidRDefault="00000000">
            <w:pPr>
              <w:spacing w:after="0"/>
              <w:jc w:val="both"/>
            </w:pPr>
            <w:hyperlink r:id="rId43">
              <w:r>
                <w:rPr>
                  <w:rFonts w:ascii="Arial" w:eastAsia="Arial" w:hAnsi="Arial" w:cs="Arial"/>
                  <w:color w:val="2205FC"/>
                  <w:sz w:val="20"/>
                  <w:u w:val="single" w:color="2205FC"/>
                </w:rPr>
                <w:t>Proc. nº 16204/2023 - Dec. nº 3712/2024</w:t>
              </w:r>
            </w:hyperlink>
          </w:p>
        </w:tc>
      </w:tr>
    </w:tbl>
    <w:p w14:paraId="05DD17EA" w14:textId="77777777" w:rsidR="00171869" w:rsidRDefault="00000000">
      <w:pPr>
        <w:spacing w:after="158" w:line="251" w:lineRule="auto"/>
        <w:ind w:left="15" w:right="8" w:hanging="10"/>
        <w:jc w:val="both"/>
      </w:pPr>
      <w:r>
        <w:rPr>
          <w:rFonts w:ascii="Arial" w:eastAsia="Arial" w:hAnsi="Arial" w:cs="Arial"/>
          <w:b/>
          <w:sz w:val="20"/>
        </w:rPr>
        <w:t>Decisões relacionadas:</w:t>
      </w:r>
    </w:p>
    <w:p w14:paraId="0DEB1EAA" w14:textId="77777777" w:rsidR="00171869" w:rsidRDefault="00000000">
      <w:pPr>
        <w:spacing w:after="167" w:line="265" w:lineRule="auto"/>
        <w:ind w:left="35" w:hanging="10"/>
      </w:pPr>
      <w:hyperlink r:id="rId44">
        <w:r>
          <w:rPr>
            <w:rFonts w:ascii="Arial" w:eastAsia="Arial" w:hAnsi="Arial" w:cs="Arial"/>
            <w:color w:val="2205FC"/>
            <w:sz w:val="20"/>
            <w:u w:val="single" w:color="2205FC"/>
          </w:rPr>
          <w:t>TCDF: Decisão nº 1574/2024</w:t>
        </w:r>
      </w:hyperlink>
    </w:p>
    <w:p w14:paraId="10040B25" w14:textId="77777777" w:rsidR="00171869" w:rsidRDefault="00000000">
      <w:pPr>
        <w:spacing w:after="167" w:line="265" w:lineRule="auto"/>
        <w:ind w:left="35" w:hanging="10"/>
      </w:pPr>
      <w:hyperlink r:id="rId45">
        <w:r>
          <w:rPr>
            <w:rFonts w:ascii="Arial" w:eastAsia="Arial" w:hAnsi="Arial" w:cs="Arial"/>
            <w:color w:val="2205FC"/>
            <w:sz w:val="20"/>
            <w:u w:val="single" w:color="2205FC"/>
          </w:rPr>
          <w:t>TCDF: Decisão nº 2353/2024</w:t>
        </w:r>
      </w:hyperlink>
    </w:p>
    <w:p w14:paraId="062C4471" w14:textId="77777777" w:rsidR="00171869" w:rsidRDefault="00000000">
      <w:pPr>
        <w:spacing w:after="327" w:line="265" w:lineRule="auto"/>
        <w:ind w:left="35" w:hanging="10"/>
      </w:pPr>
      <w:hyperlink r:id="rId46">
        <w:r>
          <w:rPr>
            <w:rFonts w:ascii="Arial" w:eastAsia="Arial" w:hAnsi="Arial" w:cs="Arial"/>
            <w:color w:val="2205FC"/>
            <w:sz w:val="20"/>
            <w:u w:val="single" w:color="2205FC"/>
          </w:rPr>
          <w:t>TCDF: Decisão nº 3156/2024</w:t>
        </w:r>
      </w:hyperlink>
    </w:p>
    <w:p w14:paraId="6B4A46CA" w14:textId="77777777" w:rsidR="00171869" w:rsidRDefault="00000000">
      <w:pPr>
        <w:spacing w:after="158" w:line="251" w:lineRule="auto"/>
        <w:ind w:left="15" w:right="8" w:hanging="10"/>
        <w:jc w:val="both"/>
      </w:pPr>
      <w:r>
        <w:rPr>
          <w:rFonts w:ascii="Arial" w:eastAsia="Arial" w:hAnsi="Arial" w:cs="Arial"/>
          <w:b/>
          <w:sz w:val="20"/>
        </w:rPr>
        <w:t>Legislação relacionada:</w:t>
      </w:r>
    </w:p>
    <w:p w14:paraId="1B8AA5E0" w14:textId="77777777" w:rsidR="00171869" w:rsidRDefault="00000000">
      <w:pPr>
        <w:spacing w:after="167" w:line="265" w:lineRule="auto"/>
        <w:ind w:left="35" w:hanging="10"/>
      </w:pPr>
      <w:hyperlink r:id="rId47">
        <w:r>
          <w:rPr>
            <w:rFonts w:ascii="Arial" w:eastAsia="Arial" w:hAnsi="Arial" w:cs="Arial"/>
            <w:color w:val="2205FC"/>
            <w:sz w:val="20"/>
            <w:u w:val="single" w:color="2205FC"/>
          </w:rPr>
          <w:t>Lei nº 13019/2014, Art. 39, § 1º.</w:t>
        </w:r>
      </w:hyperlink>
    </w:p>
    <w:p w14:paraId="310A4AD5" w14:textId="77777777" w:rsidR="00171869" w:rsidRDefault="00000000">
      <w:pPr>
        <w:spacing w:after="167" w:line="265" w:lineRule="auto"/>
        <w:ind w:left="35" w:hanging="10"/>
      </w:pPr>
      <w:hyperlink r:id="rId48">
        <w:r>
          <w:rPr>
            <w:rFonts w:ascii="Arial" w:eastAsia="Arial" w:hAnsi="Arial" w:cs="Arial"/>
            <w:color w:val="2205FC"/>
            <w:sz w:val="20"/>
            <w:u w:val="single" w:color="2205FC"/>
          </w:rPr>
          <w:t>Constituição Federal de 1988, Art. 227.</w:t>
        </w:r>
      </w:hyperlink>
    </w:p>
    <w:p w14:paraId="72E599A7" w14:textId="77777777" w:rsidR="00171869" w:rsidRDefault="00000000">
      <w:pPr>
        <w:spacing w:after="167" w:line="265" w:lineRule="auto"/>
        <w:ind w:left="35" w:hanging="10"/>
      </w:pPr>
      <w:hyperlink r:id="rId49">
        <w:r>
          <w:rPr>
            <w:rFonts w:ascii="Arial" w:eastAsia="Arial" w:hAnsi="Arial" w:cs="Arial"/>
            <w:color w:val="2205FC"/>
            <w:sz w:val="20"/>
            <w:u w:val="single" w:color="2205FC"/>
          </w:rPr>
          <w:t>Lei nº 8069/1190, Art. 4º.</w:t>
        </w:r>
      </w:hyperlink>
    </w:p>
    <w:tbl>
      <w:tblPr>
        <w:tblStyle w:val="TableGrid"/>
        <w:tblpPr w:vertAnchor="page" w:horzAnchor="page" w:tblpX="100" w:tblpY="772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171869" w14:paraId="7B9851B4" w14:textId="77777777">
        <w:trPr>
          <w:trHeight w:val="400"/>
        </w:trPr>
        <w:tc>
          <w:tcPr>
            <w:tcW w:w="500" w:type="dxa"/>
            <w:tcBorders>
              <w:top w:val="nil"/>
              <w:left w:val="nil"/>
              <w:bottom w:val="nil"/>
              <w:right w:val="nil"/>
            </w:tcBorders>
            <w:shd w:val="clear" w:color="auto" w:fill="01447F"/>
          </w:tcPr>
          <w:p w14:paraId="6D44986C" w14:textId="77777777" w:rsidR="00171869" w:rsidRDefault="00000000">
            <w:pPr>
              <w:spacing w:after="0"/>
            </w:pPr>
            <w:r>
              <w:rPr>
                <w:rFonts w:ascii="Arial" w:eastAsia="Arial" w:hAnsi="Arial" w:cs="Arial"/>
                <w:b/>
                <w:color w:val="FFFFFF"/>
                <w:sz w:val="28"/>
              </w:rPr>
              <w:t>6</w:t>
            </w:r>
          </w:p>
        </w:tc>
      </w:tr>
    </w:tbl>
    <w:p w14:paraId="1D836AF1" w14:textId="77777777" w:rsidR="00171869" w:rsidRDefault="00000000">
      <w:pPr>
        <w:spacing w:after="158" w:line="251" w:lineRule="auto"/>
        <w:ind w:left="15" w:right="8" w:hanging="10"/>
        <w:jc w:val="both"/>
      </w:pPr>
      <w:r>
        <w:rPr>
          <w:rFonts w:ascii="Arial" w:eastAsia="Arial" w:hAnsi="Arial" w:cs="Arial"/>
          <w:b/>
          <w:sz w:val="20"/>
        </w:rPr>
        <w:t>PESSOAL. EMPRESA DE ASSISTÊNCIA TÉCNICA E EXTENSÃO RURAL DO DISTRITO FEDERAL - EMATER-DF. EDITAL. CONCURSO PÚBLICO. RESULTADO. DENÚNCIA ANÔNIMA. CONHECIMENTO. IMPROCEDÊNCIA. AUSÊNCIA DE PREJUÍZO. ARQUIVAMENTO.</w:t>
      </w:r>
    </w:p>
    <w:p w14:paraId="55AA5F77" w14:textId="77777777" w:rsidR="00171869" w:rsidRDefault="00000000">
      <w:pPr>
        <w:spacing w:after="3" w:line="251" w:lineRule="auto"/>
        <w:ind w:left="15" w:right="8" w:hanging="10"/>
        <w:jc w:val="both"/>
      </w:pPr>
      <w:r>
        <w:rPr>
          <w:rFonts w:ascii="Arial" w:eastAsia="Arial" w:hAnsi="Arial" w:cs="Arial"/>
          <w:sz w:val="20"/>
        </w:rPr>
        <w:t>A jurisprudência do STF é pacífica no sentido de que, em decorrência do princípio pas de nullité sans grief, impõe-se à parte que alega nulidade a efetiva demonstração do prejuízo dela decorrente, o que não ocorreu na espécie. (RMS</w:t>
      </w:r>
    </w:p>
    <w:p w14:paraId="041D2FC0" w14:textId="77777777" w:rsidR="00171869" w:rsidRDefault="00000000">
      <w:pPr>
        <w:spacing w:after="3" w:line="251" w:lineRule="auto"/>
        <w:ind w:left="15" w:right="8" w:hanging="10"/>
        <w:jc w:val="both"/>
      </w:pPr>
      <w:r>
        <w:rPr>
          <w:rFonts w:ascii="Arial" w:eastAsia="Arial" w:hAnsi="Arial" w:cs="Arial"/>
          <w:sz w:val="20"/>
        </w:rPr>
        <w:t>28.490; AR 2848)</w:t>
      </w:r>
    </w:p>
    <w:tbl>
      <w:tblPr>
        <w:tblStyle w:val="TableGrid"/>
        <w:tblW w:w="8728" w:type="dxa"/>
        <w:tblInd w:w="20" w:type="dxa"/>
        <w:tblCellMar>
          <w:top w:w="0" w:type="dxa"/>
          <w:left w:w="0" w:type="dxa"/>
          <w:bottom w:w="0" w:type="dxa"/>
          <w:right w:w="0" w:type="dxa"/>
        </w:tblCellMar>
        <w:tblLook w:val="04A0" w:firstRow="1" w:lastRow="0" w:firstColumn="1" w:lastColumn="0" w:noHBand="0" w:noVBand="1"/>
      </w:tblPr>
      <w:tblGrid>
        <w:gridCol w:w="5080"/>
        <w:gridCol w:w="3648"/>
      </w:tblGrid>
      <w:tr w:rsidR="00171869" w14:paraId="05B74F1A" w14:textId="77777777">
        <w:trPr>
          <w:trHeight w:val="865"/>
        </w:trPr>
        <w:tc>
          <w:tcPr>
            <w:tcW w:w="5080" w:type="dxa"/>
            <w:tcBorders>
              <w:top w:val="nil"/>
              <w:left w:val="nil"/>
              <w:bottom w:val="nil"/>
              <w:right w:val="nil"/>
            </w:tcBorders>
          </w:tcPr>
          <w:p w14:paraId="6EBD9238" w14:textId="77777777" w:rsidR="00171869" w:rsidRDefault="00000000">
            <w:pPr>
              <w:spacing w:after="52"/>
            </w:pPr>
            <w:r>
              <w:rPr>
                <w:rFonts w:ascii="Arial" w:eastAsia="Arial" w:hAnsi="Arial" w:cs="Arial"/>
                <w:b/>
                <w:sz w:val="20"/>
              </w:rPr>
              <w:t>Relator:</w:t>
            </w:r>
          </w:p>
          <w:p w14:paraId="799F5465" w14:textId="77777777" w:rsidR="00171869" w:rsidRDefault="00000000">
            <w:pPr>
              <w:spacing w:after="132"/>
            </w:pPr>
            <w:r>
              <w:rPr>
                <w:rFonts w:ascii="Arial" w:eastAsia="Arial" w:hAnsi="Arial" w:cs="Arial"/>
                <w:b/>
                <w:sz w:val="20"/>
              </w:rPr>
              <w:t>Antonio Renato Alves Rainha</w:t>
            </w:r>
          </w:p>
          <w:p w14:paraId="70758FD0" w14:textId="77777777" w:rsidR="00171869" w:rsidRDefault="00000000">
            <w:pPr>
              <w:spacing w:after="0"/>
            </w:pPr>
            <w:r>
              <w:rPr>
                <w:rFonts w:ascii="Arial" w:eastAsia="Arial" w:hAnsi="Arial" w:cs="Arial"/>
                <w:b/>
                <w:sz w:val="20"/>
              </w:rPr>
              <w:t>Decisão por unanimidade</w:t>
            </w:r>
          </w:p>
        </w:tc>
        <w:tc>
          <w:tcPr>
            <w:tcW w:w="3648" w:type="dxa"/>
            <w:tcBorders>
              <w:top w:val="nil"/>
              <w:left w:val="nil"/>
              <w:bottom w:val="nil"/>
              <w:right w:val="nil"/>
            </w:tcBorders>
          </w:tcPr>
          <w:p w14:paraId="691B18C5" w14:textId="77777777" w:rsidR="00171869" w:rsidRDefault="00000000">
            <w:pPr>
              <w:spacing w:after="52"/>
            </w:pPr>
            <w:r>
              <w:rPr>
                <w:rFonts w:ascii="Arial" w:eastAsia="Arial" w:hAnsi="Arial" w:cs="Arial"/>
                <w:b/>
                <w:sz w:val="20"/>
              </w:rPr>
              <w:t>Sessão:</w:t>
            </w:r>
          </w:p>
          <w:p w14:paraId="4F92214C" w14:textId="77777777" w:rsidR="00171869" w:rsidRDefault="00000000">
            <w:pPr>
              <w:spacing w:after="132"/>
            </w:pPr>
            <w:r>
              <w:rPr>
                <w:rFonts w:ascii="Arial" w:eastAsia="Arial" w:hAnsi="Arial" w:cs="Arial"/>
                <w:b/>
                <w:sz w:val="20"/>
              </w:rPr>
              <w:t>ORDINÁRIA nº 5404, de 27/11/2024.</w:t>
            </w:r>
          </w:p>
          <w:p w14:paraId="34143162" w14:textId="77777777" w:rsidR="00171869" w:rsidRDefault="00000000">
            <w:pPr>
              <w:spacing w:after="0"/>
              <w:jc w:val="both"/>
            </w:pPr>
            <w:hyperlink r:id="rId50">
              <w:r>
                <w:rPr>
                  <w:rFonts w:ascii="Arial" w:eastAsia="Arial" w:hAnsi="Arial" w:cs="Arial"/>
                  <w:color w:val="2205FC"/>
                  <w:sz w:val="20"/>
                  <w:u w:val="single" w:color="2205FC"/>
                </w:rPr>
                <w:t>Proc. nº 12697/2023 - Dec. nº 4567/2024</w:t>
              </w:r>
            </w:hyperlink>
          </w:p>
        </w:tc>
      </w:tr>
    </w:tbl>
    <w:p w14:paraId="64624B65" w14:textId="77777777" w:rsidR="00171869" w:rsidRDefault="00000000">
      <w:pPr>
        <w:spacing w:after="158" w:line="251" w:lineRule="auto"/>
        <w:ind w:left="15" w:right="8" w:hanging="10"/>
        <w:jc w:val="both"/>
      </w:pPr>
      <w:r>
        <w:rPr>
          <w:rFonts w:ascii="Arial" w:eastAsia="Arial" w:hAnsi="Arial" w:cs="Arial"/>
          <w:b/>
          <w:sz w:val="20"/>
        </w:rPr>
        <w:t>Precedentes externos:</w:t>
      </w:r>
    </w:p>
    <w:p w14:paraId="29F34F50" w14:textId="77777777" w:rsidR="00171869" w:rsidRDefault="00000000">
      <w:pPr>
        <w:spacing w:after="167" w:line="265" w:lineRule="auto"/>
        <w:ind w:left="35" w:hanging="10"/>
      </w:pPr>
      <w:hyperlink r:id="rId51">
        <w:r>
          <w:rPr>
            <w:rFonts w:ascii="Arial" w:eastAsia="Arial" w:hAnsi="Arial" w:cs="Arial"/>
            <w:color w:val="2205FC"/>
            <w:sz w:val="20"/>
            <w:u w:val="single" w:color="2205FC"/>
          </w:rPr>
          <w:t>Decisão STF nº RMS 28490 AgR / DF - DISTRITO FEDERAL</w:t>
        </w:r>
      </w:hyperlink>
    </w:p>
    <w:p w14:paraId="76367FEF" w14:textId="77777777" w:rsidR="00171869" w:rsidRDefault="00000000">
      <w:pPr>
        <w:spacing w:after="100" w:line="265" w:lineRule="auto"/>
        <w:ind w:left="35" w:hanging="10"/>
      </w:pPr>
      <w:hyperlink r:id="rId52">
        <w:r>
          <w:rPr>
            <w:rFonts w:ascii="Arial" w:eastAsia="Arial" w:hAnsi="Arial" w:cs="Arial"/>
            <w:color w:val="2205FC"/>
            <w:sz w:val="20"/>
            <w:u w:val="single" w:color="2205FC"/>
          </w:rPr>
          <w:t>Decisão STF nº AR 2848 AgR / SP - SÃO PAULO</w:t>
        </w:r>
      </w:hyperlink>
    </w:p>
    <w:p w14:paraId="23D6E5CB" w14:textId="77777777" w:rsidR="00171869" w:rsidRDefault="00000000">
      <w:pPr>
        <w:spacing w:after="470"/>
        <w:ind w:left="300"/>
      </w:pPr>
      <w:r>
        <w:rPr>
          <w:noProof/>
        </w:rPr>
        <mc:AlternateContent>
          <mc:Choice Requires="wpg">
            <w:drawing>
              <wp:inline distT="0" distB="0" distL="0" distR="0" wp14:anchorId="6F2C0F17" wp14:editId="084BE137">
                <wp:extent cx="6350000" cy="12700"/>
                <wp:effectExtent l="0" t="0" r="0" b="0"/>
                <wp:docPr id="5171" name="Group 5171"/>
                <wp:cNvGraphicFramePr/>
                <a:graphic xmlns:a="http://schemas.openxmlformats.org/drawingml/2006/main">
                  <a:graphicData uri="http://schemas.microsoft.com/office/word/2010/wordprocessingGroup">
                    <wpg:wgp>
                      <wpg:cNvGrpSpPr/>
                      <wpg:grpSpPr>
                        <a:xfrm>
                          <a:off x="0" y="0"/>
                          <a:ext cx="6350000" cy="12700"/>
                          <a:chOff x="0" y="0"/>
                          <a:chExt cx="6350000" cy="12700"/>
                        </a:xfrm>
                      </wpg:grpSpPr>
                      <wps:wsp>
                        <wps:cNvPr id="381" name="Shape 381"/>
                        <wps:cNvSpPr/>
                        <wps:spPr>
                          <a:xfrm>
                            <a:off x="0" y="0"/>
                            <a:ext cx="6350000" cy="0"/>
                          </a:xfrm>
                          <a:custGeom>
                            <a:avLst/>
                            <a:gdLst/>
                            <a:ahLst/>
                            <a:cxnLst/>
                            <a:rect l="0" t="0" r="0" b="0"/>
                            <a:pathLst>
                              <a:path w="6350000">
                                <a:moveTo>
                                  <a:pt x="0" y="0"/>
                                </a:moveTo>
                                <a:lnTo>
                                  <a:pt x="6350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171" style="width:500pt;height:1pt;mso-position-horizontal-relative:char;mso-position-vertical-relative:line" coordsize="63500,127">
                <v:shape id="Shape 381" style="position:absolute;width:63500;height:0;left:0;top:0;" coordsize="6350000,0" path="m0,0l6350000,0">
                  <v:stroke weight="1pt" endcap="flat" joinstyle="miter" miterlimit="10" on="true" color="#000000"/>
                  <v:fill on="false" color="#000000" opacity="0"/>
                </v:shape>
              </v:group>
            </w:pict>
          </mc:Fallback>
        </mc:AlternateContent>
      </w:r>
    </w:p>
    <w:p w14:paraId="063A5ADE" w14:textId="77777777" w:rsidR="00171869" w:rsidRDefault="00000000">
      <w:pPr>
        <w:pStyle w:val="Ttulo1"/>
        <w:spacing w:after="305"/>
        <w:ind w:left="637"/>
      </w:pPr>
      <w:r>
        <w:t>OUTRAS DECISÕES SOBRE PROCESSUAL</w:t>
      </w:r>
    </w:p>
    <w:p w14:paraId="07BC9A05" w14:textId="77777777" w:rsidR="00171869" w:rsidRDefault="00000000">
      <w:pPr>
        <w:spacing w:after="167" w:line="265" w:lineRule="auto"/>
        <w:ind w:left="35" w:hanging="10"/>
      </w:pPr>
      <w:hyperlink r:id="rId53">
        <w:r>
          <w:rPr>
            <w:rFonts w:ascii="Arial" w:eastAsia="Arial" w:hAnsi="Arial" w:cs="Arial"/>
            <w:color w:val="2205FC"/>
            <w:sz w:val="20"/>
            <w:u w:val="single" w:color="2205FC"/>
          </w:rPr>
          <w:t>Decisão nº 2402/2024</w:t>
        </w:r>
      </w:hyperlink>
    </w:p>
    <w:p w14:paraId="696D5B1A" w14:textId="77777777" w:rsidR="00171869" w:rsidRDefault="00000000">
      <w:pPr>
        <w:spacing w:after="167" w:line="265" w:lineRule="auto"/>
        <w:ind w:left="35" w:hanging="10"/>
      </w:pPr>
      <w:hyperlink r:id="rId54">
        <w:r>
          <w:rPr>
            <w:rFonts w:ascii="Arial" w:eastAsia="Arial" w:hAnsi="Arial" w:cs="Arial"/>
            <w:color w:val="2205FC"/>
            <w:sz w:val="20"/>
            <w:u w:val="single" w:color="2205FC"/>
          </w:rPr>
          <w:t>Decisão nº 2567/2024</w:t>
        </w:r>
      </w:hyperlink>
    </w:p>
    <w:p w14:paraId="234CD182" w14:textId="77777777" w:rsidR="00171869" w:rsidRDefault="00000000">
      <w:pPr>
        <w:spacing w:after="167" w:line="265" w:lineRule="auto"/>
        <w:ind w:left="35" w:hanging="10"/>
      </w:pPr>
      <w:hyperlink r:id="rId55">
        <w:r>
          <w:rPr>
            <w:rFonts w:ascii="Arial" w:eastAsia="Arial" w:hAnsi="Arial" w:cs="Arial"/>
            <w:color w:val="2205FC"/>
            <w:sz w:val="20"/>
            <w:u w:val="single" w:color="2205FC"/>
          </w:rPr>
          <w:t>Decisão nº 2554/2024</w:t>
        </w:r>
      </w:hyperlink>
    </w:p>
    <w:p w14:paraId="550E32A1" w14:textId="77777777" w:rsidR="00171869" w:rsidRDefault="00000000">
      <w:pPr>
        <w:spacing w:after="167" w:line="265" w:lineRule="auto"/>
        <w:ind w:left="35" w:hanging="10"/>
      </w:pPr>
      <w:hyperlink r:id="rId56">
        <w:r>
          <w:rPr>
            <w:rFonts w:ascii="Arial" w:eastAsia="Arial" w:hAnsi="Arial" w:cs="Arial"/>
            <w:color w:val="2205FC"/>
            <w:sz w:val="20"/>
            <w:u w:val="single" w:color="2205FC"/>
          </w:rPr>
          <w:t>Decisão nº 2444/2024</w:t>
        </w:r>
      </w:hyperlink>
    </w:p>
    <w:p w14:paraId="1CB9327E" w14:textId="77777777" w:rsidR="00171869" w:rsidRDefault="00000000">
      <w:pPr>
        <w:spacing w:after="167" w:line="265" w:lineRule="auto"/>
        <w:ind w:left="35" w:hanging="10"/>
      </w:pPr>
      <w:hyperlink r:id="rId57">
        <w:r>
          <w:rPr>
            <w:rFonts w:ascii="Arial" w:eastAsia="Arial" w:hAnsi="Arial" w:cs="Arial"/>
            <w:color w:val="2205FC"/>
            <w:sz w:val="20"/>
            <w:u w:val="single" w:color="2205FC"/>
          </w:rPr>
          <w:t>Decisão nº 2771/2024</w:t>
        </w:r>
      </w:hyperlink>
    </w:p>
    <w:p w14:paraId="07D2C3C0" w14:textId="77777777" w:rsidR="00171869" w:rsidRDefault="00000000">
      <w:pPr>
        <w:spacing w:after="167" w:line="265" w:lineRule="auto"/>
        <w:ind w:left="35" w:hanging="10"/>
      </w:pPr>
      <w:hyperlink r:id="rId58">
        <w:r>
          <w:rPr>
            <w:rFonts w:ascii="Arial" w:eastAsia="Arial" w:hAnsi="Arial" w:cs="Arial"/>
            <w:color w:val="2205FC"/>
            <w:sz w:val="20"/>
            <w:u w:val="single" w:color="2205FC"/>
          </w:rPr>
          <w:t>Decisão nº 2769/2024</w:t>
        </w:r>
      </w:hyperlink>
    </w:p>
    <w:p w14:paraId="3BAC442A" w14:textId="77777777" w:rsidR="00171869" w:rsidRDefault="00000000">
      <w:pPr>
        <w:spacing w:after="167" w:line="265" w:lineRule="auto"/>
        <w:ind w:left="35" w:hanging="10"/>
      </w:pPr>
      <w:hyperlink r:id="rId59">
        <w:r>
          <w:rPr>
            <w:rFonts w:ascii="Arial" w:eastAsia="Arial" w:hAnsi="Arial" w:cs="Arial"/>
            <w:color w:val="2205FC"/>
            <w:sz w:val="20"/>
            <w:u w:val="single" w:color="2205FC"/>
          </w:rPr>
          <w:t>Decisão nº 2844/2024</w:t>
        </w:r>
      </w:hyperlink>
    </w:p>
    <w:p w14:paraId="5ABFC790" w14:textId="77777777" w:rsidR="00171869" w:rsidRDefault="00000000">
      <w:pPr>
        <w:spacing w:after="167" w:line="265" w:lineRule="auto"/>
        <w:ind w:left="35" w:hanging="10"/>
      </w:pPr>
      <w:hyperlink r:id="rId60">
        <w:r>
          <w:rPr>
            <w:rFonts w:ascii="Arial" w:eastAsia="Arial" w:hAnsi="Arial" w:cs="Arial"/>
            <w:color w:val="2205FC"/>
            <w:sz w:val="20"/>
            <w:u w:val="single" w:color="2205FC"/>
          </w:rPr>
          <w:t>Decisão nº 2770/2024</w:t>
        </w:r>
      </w:hyperlink>
    </w:p>
    <w:p w14:paraId="0A57C405" w14:textId="77777777" w:rsidR="00171869" w:rsidRDefault="00000000">
      <w:pPr>
        <w:spacing w:after="167" w:line="265" w:lineRule="auto"/>
        <w:ind w:left="35" w:hanging="10"/>
      </w:pPr>
      <w:hyperlink r:id="rId61">
        <w:r>
          <w:rPr>
            <w:rFonts w:ascii="Arial" w:eastAsia="Arial" w:hAnsi="Arial" w:cs="Arial"/>
            <w:color w:val="2205FC"/>
            <w:sz w:val="20"/>
            <w:u w:val="single" w:color="2205FC"/>
          </w:rPr>
          <w:t>Decisão nº 2768/2024</w:t>
        </w:r>
      </w:hyperlink>
    </w:p>
    <w:p w14:paraId="6407AC16" w14:textId="77777777" w:rsidR="00171869" w:rsidRDefault="00000000">
      <w:pPr>
        <w:spacing w:after="167" w:line="265" w:lineRule="auto"/>
        <w:ind w:left="35" w:hanging="10"/>
      </w:pPr>
      <w:hyperlink r:id="rId62">
        <w:r>
          <w:rPr>
            <w:rFonts w:ascii="Arial" w:eastAsia="Arial" w:hAnsi="Arial" w:cs="Arial"/>
            <w:color w:val="2205FC"/>
            <w:sz w:val="20"/>
            <w:u w:val="single" w:color="2205FC"/>
          </w:rPr>
          <w:t>Decisão nº 2955/2024</w:t>
        </w:r>
      </w:hyperlink>
    </w:p>
    <w:p w14:paraId="1561B1A5" w14:textId="77777777" w:rsidR="00171869" w:rsidRDefault="00000000">
      <w:pPr>
        <w:spacing w:after="167" w:line="265" w:lineRule="auto"/>
        <w:ind w:left="35" w:hanging="10"/>
      </w:pPr>
      <w:hyperlink r:id="rId63">
        <w:r>
          <w:rPr>
            <w:rFonts w:ascii="Arial" w:eastAsia="Arial" w:hAnsi="Arial" w:cs="Arial"/>
            <w:color w:val="2205FC"/>
            <w:sz w:val="20"/>
            <w:u w:val="single" w:color="2205FC"/>
          </w:rPr>
          <w:t>Decisão nº 2916/2024</w:t>
        </w:r>
      </w:hyperlink>
    </w:p>
    <w:p w14:paraId="5FE8BEC3" w14:textId="77777777" w:rsidR="00171869" w:rsidRDefault="00000000">
      <w:pPr>
        <w:spacing w:after="167" w:line="265" w:lineRule="auto"/>
        <w:ind w:left="35" w:hanging="10"/>
      </w:pPr>
      <w:hyperlink r:id="rId64">
        <w:r>
          <w:rPr>
            <w:rFonts w:ascii="Arial" w:eastAsia="Arial" w:hAnsi="Arial" w:cs="Arial"/>
            <w:color w:val="2205FC"/>
            <w:sz w:val="20"/>
            <w:u w:val="single" w:color="2205FC"/>
          </w:rPr>
          <w:t>Decisão nº 3053/2024</w:t>
        </w:r>
      </w:hyperlink>
    </w:p>
    <w:p w14:paraId="7EEB250A" w14:textId="77777777" w:rsidR="00171869" w:rsidRDefault="00000000">
      <w:pPr>
        <w:spacing w:after="167" w:line="265" w:lineRule="auto"/>
        <w:ind w:left="35" w:hanging="10"/>
      </w:pPr>
      <w:hyperlink r:id="rId65">
        <w:r>
          <w:rPr>
            <w:rFonts w:ascii="Arial" w:eastAsia="Arial" w:hAnsi="Arial" w:cs="Arial"/>
            <w:color w:val="2205FC"/>
            <w:sz w:val="20"/>
            <w:u w:val="single" w:color="2205FC"/>
          </w:rPr>
          <w:t>Decisão nº 3043/2024</w:t>
        </w:r>
      </w:hyperlink>
    </w:p>
    <w:p w14:paraId="1DF8E78C" w14:textId="77777777" w:rsidR="00171869" w:rsidRDefault="00000000">
      <w:pPr>
        <w:spacing w:after="167" w:line="265" w:lineRule="auto"/>
        <w:ind w:left="35" w:hanging="10"/>
      </w:pPr>
      <w:hyperlink r:id="rId66">
        <w:r>
          <w:rPr>
            <w:rFonts w:ascii="Arial" w:eastAsia="Arial" w:hAnsi="Arial" w:cs="Arial"/>
            <w:color w:val="2205FC"/>
            <w:sz w:val="20"/>
            <w:u w:val="single" w:color="2205FC"/>
          </w:rPr>
          <w:t>Decisão nº 3263/2024</w:t>
        </w:r>
      </w:hyperlink>
    </w:p>
    <w:p w14:paraId="70D7A386" w14:textId="77777777" w:rsidR="00171869" w:rsidRDefault="00000000">
      <w:pPr>
        <w:spacing w:after="167" w:line="265" w:lineRule="auto"/>
        <w:ind w:left="35" w:hanging="10"/>
      </w:pPr>
      <w:hyperlink r:id="rId67">
        <w:r>
          <w:rPr>
            <w:rFonts w:ascii="Arial" w:eastAsia="Arial" w:hAnsi="Arial" w:cs="Arial"/>
            <w:color w:val="2205FC"/>
            <w:sz w:val="20"/>
            <w:u w:val="single" w:color="2205FC"/>
          </w:rPr>
          <w:t>Decisão nº 3156/2024</w:t>
        </w:r>
      </w:hyperlink>
    </w:p>
    <w:p w14:paraId="1BA93854" w14:textId="77777777" w:rsidR="00171869" w:rsidRDefault="00000000">
      <w:pPr>
        <w:spacing w:after="167" w:line="265" w:lineRule="auto"/>
        <w:ind w:left="35" w:hanging="10"/>
      </w:pPr>
      <w:hyperlink r:id="rId68">
        <w:r>
          <w:rPr>
            <w:rFonts w:ascii="Arial" w:eastAsia="Arial" w:hAnsi="Arial" w:cs="Arial"/>
            <w:color w:val="2205FC"/>
            <w:sz w:val="20"/>
            <w:u w:val="single" w:color="2205FC"/>
          </w:rPr>
          <w:t>Decisão nº 3150/2024</w:t>
        </w:r>
      </w:hyperlink>
    </w:p>
    <w:p w14:paraId="45E2B0AD" w14:textId="77777777" w:rsidR="00171869" w:rsidRDefault="00000000">
      <w:pPr>
        <w:spacing w:after="167" w:line="265" w:lineRule="auto"/>
        <w:ind w:left="35" w:hanging="10"/>
      </w:pPr>
      <w:hyperlink r:id="rId69">
        <w:r>
          <w:rPr>
            <w:rFonts w:ascii="Arial" w:eastAsia="Arial" w:hAnsi="Arial" w:cs="Arial"/>
            <w:color w:val="2205FC"/>
            <w:sz w:val="20"/>
            <w:u w:val="single" w:color="2205FC"/>
          </w:rPr>
          <w:t>Decisão nº 3411/2024</w:t>
        </w:r>
      </w:hyperlink>
    </w:p>
    <w:p w14:paraId="24A0C599" w14:textId="77777777" w:rsidR="00171869" w:rsidRDefault="00000000">
      <w:pPr>
        <w:spacing w:after="167" w:line="265" w:lineRule="auto"/>
        <w:ind w:left="35" w:hanging="10"/>
      </w:pPr>
      <w:hyperlink r:id="rId70">
        <w:r>
          <w:rPr>
            <w:rFonts w:ascii="Arial" w:eastAsia="Arial" w:hAnsi="Arial" w:cs="Arial"/>
            <w:color w:val="2205FC"/>
            <w:sz w:val="20"/>
            <w:u w:val="single" w:color="2205FC"/>
          </w:rPr>
          <w:t>Decisão nº 3590/2024</w:t>
        </w:r>
      </w:hyperlink>
    </w:p>
    <w:p w14:paraId="46C955E0" w14:textId="77777777" w:rsidR="00171869" w:rsidRDefault="00000000">
      <w:pPr>
        <w:spacing w:after="167" w:line="265" w:lineRule="auto"/>
        <w:ind w:left="35" w:hanging="10"/>
      </w:pPr>
      <w:hyperlink r:id="rId71">
        <w:r>
          <w:rPr>
            <w:rFonts w:ascii="Arial" w:eastAsia="Arial" w:hAnsi="Arial" w:cs="Arial"/>
            <w:color w:val="2205FC"/>
            <w:sz w:val="20"/>
            <w:u w:val="single" w:color="2205FC"/>
          </w:rPr>
          <w:t>Decisão nº 3700/2024</w:t>
        </w:r>
      </w:hyperlink>
    </w:p>
    <w:p w14:paraId="34F03D4E" w14:textId="77777777" w:rsidR="00171869" w:rsidRDefault="00000000">
      <w:pPr>
        <w:spacing w:after="167" w:line="265" w:lineRule="auto"/>
        <w:ind w:left="35" w:hanging="10"/>
      </w:pPr>
      <w:hyperlink r:id="rId72">
        <w:r>
          <w:rPr>
            <w:rFonts w:ascii="Arial" w:eastAsia="Arial" w:hAnsi="Arial" w:cs="Arial"/>
            <w:color w:val="2205FC"/>
            <w:sz w:val="20"/>
            <w:u w:val="single" w:color="2205FC"/>
          </w:rPr>
          <w:t>Decisão nº 3669/2024</w:t>
        </w:r>
      </w:hyperlink>
    </w:p>
    <w:p w14:paraId="7F6CA562" w14:textId="77777777" w:rsidR="00171869" w:rsidRDefault="00000000">
      <w:pPr>
        <w:spacing w:after="167" w:line="265" w:lineRule="auto"/>
        <w:ind w:left="35" w:hanging="10"/>
      </w:pPr>
      <w:hyperlink r:id="rId73">
        <w:r>
          <w:rPr>
            <w:rFonts w:ascii="Arial" w:eastAsia="Arial" w:hAnsi="Arial" w:cs="Arial"/>
            <w:color w:val="2205FC"/>
            <w:sz w:val="20"/>
            <w:u w:val="single" w:color="2205FC"/>
          </w:rPr>
          <w:t>Decisão nº 3714/2024</w:t>
        </w:r>
      </w:hyperlink>
    </w:p>
    <w:p w14:paraId="0611AED2" w14:textId="77777777" w:rsidR="00171869" w:rsidRDefault="00000000">
      <w:pPr>
        <w:spacing w:after="167" w:line="265" w:lineRule="auto"/>
        <w:ind w:left="35" w:hanging="10"/>
      </w:pPr>
      <w:hyperlink r:id="rId74">
        <w:r>
          <w:rPr>
            <w:rFonts w:ascii="Arial" w:eastAsia="Arial" w:hAnsi="Arial" w:cs="Arial"/>
            <w:color w:val="2205FC"/>
            <w:sz w:val="20"/>
            <w:u w:val="single" w:color="2205FC"/>
          </w:rPr>
          <w:t>Decisão nº 3680/2024</w:t>
        </w:r>
      </w:hyperlink>
    </w:p>
    <w:p w14:paraId="6F6C5879" w14:textId="77777777" w:rsidR="00171869" w:rsidRDefault="00000000">
      <w:pPr>
        <w:spacing w:after="167" w:line="265" w:lineRule="auto"/>
        <w:ind w:left="35" w:hanging="10"/>
      </w:pPr>
      <w:hyperlink r:id="rId75">
        <w:r>
          <w:rPr>
            <w:rFonts w:ascii="Arial" w:eastAsia="Arial" w:hAnsi="Arial" w:cs="Arial"/>
            <w:color w:val="2205FC"/>
            <w:sz w:val="20"/>
            <w:u w:val="single" w:color="2205FC"/>
          </w:rPr>
          <w:t>Decisão nº 3721/2024</w:t>
        </w:r>
      </w:hyperlink>
    </w:p>
    <w:p w14:paraId="2A8AFDEA" w14:textId="77777777" w:rsidR="00171869" w:rsidRDefault="00000000">
      <w:pPr>
        <w:spacing w:after="167" w:line="265" w:lineRule="auto"/>
        <w:ind w:left="35" w:hanging="10"/>
      </w:pPr>
      <w:hyperlink r:id="rId76">
        <w:r>
          <w:rPr>
            <w:rFonts w:ascii="Arial" w:eastAsia="Arial" w:hAnsi="Arial" w:cs="Arial"/>
            <w:color w:val="2205FC"/>
            <w:sz w:val="20"/>
            <w:u w:val="single" w:color="2205FC"/>
          </w:rPr>
          <w:t>Decisão nº 3789/2024</w:t>
        </w:r>
      </w:hyperlink>
    </w:p>
    <w:p w14:paraId="313BB979" w14:textId="77777777" w:rsidR="00171869" w:rsidRDefault="00000000">
      <w:pPr>
        <w:spacing w:after="167" w:line="265" w:lineRule="auto"/>
        <w:ind w:left="35" w:hanging="10"/>
      </w:pPr>
      <w:hyperlink r:id="rId77">
        <w:r>
          <w:rPr>
            <w:rFonts w:ascii="Arial" w:eastAsia="Arial" w:hAnsi="Arial" w:cs="Arial"/>
            <w:color w:val="2205FC"/>
            <w:sz w:val="20"/>
            <w:u w:val="single" w:color="2205FC"/>
          </w:rPr>
          <w:t>Decisão nº 3778/2024</w:t>
        </w:r>
      </w:hyperlink>
    </w:p>
    <w:p w14:paraId="5B472B06" w14:textId="77777777" w:rsidR="00171869" w:rsidRDefault="00000000">
      <w:pPr>
        <w:spacing w:after="167" w:line="265" w:lineRule="auto"/>
        <w:ind w:left="35" w:hanging="10"/>
      </w:pPr>
      <w:hyperlink r:id="rId78">
        <w:r>
          <w:rPr>
            <w:rFonts w:ascii="Arial" w:eastAsia="Arial" w:hAnsi="Arial" w:cs="Arial"/>
            <w:color w:val="2205FC"/>
            <w:sz w:val="20"/>
            <w:u w:val="single" w:color="2205FC"/>
          </w:rPr>
          <w:t>Decisão nº 3899/2024</w:t>
        </w:r>
      </w:hyperlink>
    </w:p>
    <w:p w14:paraId="544A7DBD" w14:textId="77777777" w:rsidR="00171869" w:rsidRDefault="00000000">
      <w:pPr>
        <w:spacing w:after="167" w:line="265" w:lineRule="auto"/>
        <w:ind w:left="35" w:hanging="10"/>
      </w:pPr>
      <w:hyperlink r:id="rId79">
        <w:r>
          <w:rPr>
            <w:rFonts w:ascii="Arial" w:eastAsia="Arial" w:hAnsi="Arial" w:cs="Arial"/>
            <w:color w:val="2205FC"/>
            <w:sz w:val="20"/>
            <w:u w:val="single" w:color="2205FC"/>
          </w:rPr>
          <w:t>Decisão nº 3879/2024</w:t>
        </w:r>
      </w:hyperlink>
    </w:p>
    <w:p w14:paraId="48C69F77" w14:textId="77777777" w:rsidR="00171869" w:rsidRDefault="00000000">
      <w:pPr>
        <w:spacing w:after="167" w:line="265" w:lineRule="auto"/>
        <w:ind w:left="35" w:hanging="10"/>
      </w:pPr>
      <w:hyperlink r:id="rId80">
        <w:r>
          <w:rPr>
            <w:rFonts w:ascii="Arial" w:eastAsia="Arial" w:hAnsi="Arial" w:cs="Arial"/>
            <w:color w:val="2205FC"/>
            <w:sz w:val="20"/>
            <w:u w:val="single" w:color="2205FC"/>
          </w:rPr>
          <w:t>Decisão nº 3933/2024</w:t>
        </w:r>
      </w:hyperlink>
    </w:p>
    <w:p w14:paraId="06E06FFA" w14:textId="77777777" w:rsidR="00171869" w:rsidRDefault="00000000">
      <w:pPr>
        <w:spacing w:after="167" w:line="265" w:lineRule="auto"/>
        <w:ind w:left="35" w:hanging="10"/>
      </w:pPr>
      <w:hyperlink r:id="rId81">
        <w:r>
          <w:rPr>
            <w:rFonts w:ascii="Arial" w:eastAsia="Arial" w:hAnsi="Arial" w:cs="Arial"/>
            <w:color w:val="2205FC"/>
            <w:sz w:val="20"/>
            <w:u w:val="single" w:color="2205FC"/>
          </w:rPr>
          <w:t>Decisão nº 4068/2024</w:t>
        </w:r>
      </w:hyperlink>
    </w:p>
    <w:p w14:paraId="6B3471D4" w14:textId="77777777" w:rsidR="00171869" w:rsidRDefault="00000000">
      <w:pPr>
        <w:spacing w:after="167" w:line="265" w:lineRule="auto"/>
        <w:ind w:left="35" w:hanging="10"/>
      </w:pPr>
      <w:hyperlink r:id="rId82">
        <w:r>
          <w:rPr>
            <w:rFonts w:ascii="Arial" w:eastAsia="Arial" w:hAnsi="Arial" w:cs="Arial"/>
            <w:color w:val="2205FC"/>
            <w:sz w:val="20"/>
            <w:u w:val="single" w:color="2205FC"/>
          </w:rPr>
          <w:t>Decisão nº 4234/2024</w:t>
        </w:r>
      </w:hyperlink>
    </w:p>
    <w:p w14:paraId="55FFD211" w14:textId="77777777" w:rsidR="00171869" w:rsidRDefault="00000000">
      <w:pPr>
        <w:spacing w:after="167" w:line="265" w:lineRule="auto"/>
        <w:ind w:left="35" w:hanging="10"/>
      </w:pPr>
      <w:hyperlink r:id="rId83">
        <w:r>
          <w:rPr>
            <w:rFonts w:ascii="Arial" w:eastAsia="Arial" w:hAnsi="Arial" w:cs="Arial"/>
            <w:color w:val="2205FC"/>
            <w:sz w:val="20"/>
            <w:u w:val="single" w:color="2205FC"/>
          </w:rPr>
          <w:t>Decisão nº 4222/2024</w:t>
        </w:r>
      </w:hyperlink>
    </w:p>
    <w:p w14:paraId="522AC059" w14:textId="77777777" w:rsidR="00171869" w:rsidRDefault="00000000">
      <w:pPr>
        <w:spacing w:after="167" w:line="265" w:lineRule="auto"/>
        <w:ind w:left="35" w:hanging="10"/>
      </w:pPr>
      <w:hyperlink r:id="rId84">
        <w:r>
          <w:rPr>
            <w:rFonts w:ascii="Arial" w:eastAsia="Arial" w:hAnsi="Arial" w:cs="Arial"/>
            <w:color w:val="2205FC"/>
            <w:sz w:val="20"/>
            <w:u w:val="single" w:color="2205FC"/>
          </w:rPr>
          <w:t>Decisão nº 4339/2024</w:t>
        </w:r>
      </w:hyperlink>
    </w:p>
    <w:p w14:paraId="4D21FEEE" w14:textId="77777777" w:rsidR="00171869" w:rsidRDefault="00000000">
      <w:pPr>
        <w:spacing w:after="167" w:line="265" w:lineRule="auto"/>
        <w:ind w:left="35" w:hanging="10"/>
      </w:pPr>
      <w:hyperlink r:id="rId85">
        <w:r>
          <w:rPr>
            <w:rFonts w:ascii="Arial" w:eastAsia="Arial" w:hAnsi="Arial" w:cs="Arial"/>
            <w:color w:val="2205FC"/>
            <w:sz w:val="20"/>
            <w:u w:val="single" w:color="2205FC"/>
          </w:rPr>
          <w:t>Decisão nº 4607/2024</w:t>
        </w:r>
      </w:hyperlink>
    </w:p>
    <w:p w14:paraId="2C3DE02E" w14:textId="77777777" w:rsidR="00171869" w:rsidRDefault="00000000">
      <w:pPr>
        <w:spacing w:after="167" w:line="265" w:lineRule="auto"/>
        <w:ind w:left="35" w:hanging="10"/>
      </w:pPr>
      <w:hyperlink r:id="rId86">
        <w:r>
          <w:rPr>
            <w:rFonts w:ascii="Arial" w:eastAsia="Arial" w:hAnsi="Arial" w:cs="Arial"/>
            <w:color w:val="2205FC"/>
            <w:sz w:val="20"/>
            <w:u w:val="single" w:color="2205FC"/>
          </w:rPr>
          <w:t>Decisão nº 4621/2024</w:t>
        </w:r>
      </w:hyperlink>
    </w:p>
    <w:p w14:paraId="5CCE17E1" w14:textId="77777777" w:rsidR="00171869" w:rsidRDefault="00000000">
      <w:pPr>
        <w:spacing w:after="3347" w:line="265" w:lineRule="auto"/>
        <w:ind w:left="35" w:hanging="10"/>
      </w:pPr>
      <w:hyperlink r:id="rId87">
        <w:r>
          <w:rPr>
            <w:rFonts w:ascii="Arial" w:eastAsia="Arial" w:hAnsi="Arial" w:cs="Arial"/>
            <w:color w:val="2205FC"/>
            <w:sz w:val="20"/>
            <w:u w:val="single" w:color="2205FC"/>
          </w:rPr>
          <w:t>Decisão nº 4627/2024</w:t>
        </w:r>
      </w:hyperlink>
    </w:p>
    <w:p w14:paraId="69770467" w14:textId="77777777" w:rsidR="00171869" w:rsidRDefault="00000000">
      <w:pPr>
        <w:spacing w:after="0"/>
        <w:ind w:left="10" w:right="1993" w:hanging="10"/>
        <w:jc w:val="right"/>
      </w:pPr>
      <w:r>
        <w:rPr>
          <w:rFonts w:ascii="Arial" w:eastAsia="Arial" w:hAnsi="Arial" w:cs="Arial"/>
          <w:color w:val="FFFFFF"/>
          <w:sz w:val="20"/>
        </w:rPr>
        <w:t>Coordenadoria de Biblioteca, Gestão da Informação e do Conhecimento – COBGI</w:t>
      </w:r>
    </w:p>
    <w:p w14:paraId="15F0D251" w14:textId="77777777" w:rsidR="00171869" w:rsidRDefault="00000000">
      <w:pPr>
        <w:spacing w:after="0"/>
        <w:ind w:left="10" w:right="2353" w:hanging="10"/>
        <w:jc w:val="right"/>
      </w:pPr>
      <w:r>
        <w:rPr>
          <w:rFonts w:ascii="Arial" w:eastAsia="Arial" w:hAnsi="Arial" w:cs="Arial"/>
          <w:color w:val="FFFFFF"/>
          <w:sz w:val="20"/>
        </w:rPr>
        <w:t>Supervisão de Sistemas de Informação, Legislação e Jurisprudência - SSI</w:t>
      </w:r>
    </w:p>
    <w:p w14:paraId="52C11A4F" w14:textId="77777777" w:rsidR="00171869" w:rsidRDefault="00000000">
      <w:pPr>
        <w:spacing w:after="0"/>
        <w:ind w:left="1980"/>
      </w:pPr>
      <w:r>
        <w:rPr>
          <w:rFonts w:ascii="Arial" w:eastAsia="Arial" w:hAnsi="Arial" w:cs="Arial"/>
          <w:b/>
          <w:color w:val="FFFFFF"/>
          <w:sz w:val="20"/>
        </w:rPr>
        <w:t xml:space="preserve">Telefone: </w:t>
      </w:r>
      <w:r>
        <w:rPr>
          <w:rFonts w:ascii="Arial" w:eastAsia="Arial" w:hAnsi="Arial" w:cs="Arial"/>
          <w:color w:val="FFFFFF"/>
          <w:sz w:val="20"/>
        </w:rPr>
        <w:t xml:space="preserve">(61) 3314-2226/2593/2259 </w:t>
      </w:r>
      <w:r>
        <w:rPr>
          <w:rFonts w:ascii="Arial" w:eastAsia="Arial" w:hAnsi="Arial" w:cs="Arial"/>
          <w:b/>
          <w:color w:val="FFFFFF"/>
          <w:sz w:val="20"/>
        </w:rPr>
        <w:t xml:space="preserve">email: </w:t>
      </w:r>
      <w:r>
        <w:rPr>
          <w:rFonts w:ascii="Arial" w:eastAsia="Arial" w:hAnsi="Arial" w:cs="Arial"/>
          <w:color w:val="FFFFFF"/>
          <w:sz w:val="20"/>
        </w:rPr>
        <w:t>jurisprudencia@tc.df.gov.br</w:t>
      </w:r>
    </w:p>
    <w:sectPr w:rsidR="00171869">
      <w:headerReference w:type="even" r:id="rId88"/>
      <w:headerReference w:type="default" r:id="rId89"/>
      <w:footerReference w:type="even" r:id="rId90"/>
      <w:footerReference w:type="default" r:id="rId91"/>
      <w:headerReference w:type="first" r:id="rId92"/>
      <w:footerReference w:type="first" r:id="rId93"/>
      <w:pgSz w:w="11900" w:h="16840"/>
      <w:pgMar w:top="442" w:right="357" w:bottom="387" w:left="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64316" w14:textId="77777777" w:rsidR="00DA7EE3" w:rsidRDefault="00DA7EE3">
      <w:pPr>
        <w:spacing w:after="0" w:line="240" w:lineRule="auto"/>
      </w:pPr>
      <w:r>
        <w:separator/>
      </w:r>
    </w:p>
  </w:endnote>
  <w:endnote w:type="continuationSeparator" w:id="0">
    <w:p w14:paraId="3B033A3D" w14:textId="77777777" w:rsidR="00DA7EE3" w:rsidRDefault="00DA7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5640"/>
      <w:tblOverlap w:val="never"/>
      <w:tblW w:w="11900" w:type="dxa"/>
      <w:tblInd w:w="0" w:type="dxa"/>
      <w:tblCellMar>
        <w:top w:w="0" w:type="dxa"/>
        <w:left w:w="115" w:type="dxa"/>
        <w:bottom w:w="157" w:type="dxa"/>
        <w:right w:w="838" w:type="dxa"/>
      </w:tblCellMar>
      <w:tblLook w:val="04A0" w:firstRow="1" w:lastRow="0" w:firstColumn="1" w:lastColumn="0" w:noHBand="0" w:noVBand="1"/>
    </w:tblPr>
    <w:tblGrid>
      <w:gridCol w:w="11900"/>
    </w:tblGrid>
    <w:tr w:rsidR="00171869" w14:paraId="38DCDABD" w14:textId="77777777">
      <w:trPr>
        <w:trHeight w:val="1200"/>
      </w:trPr>
      <w:tc>
        <w:tcPr>
          <w:tcW w:w="11900" w:type="dxa"/>
          <w:tcBorders>
            <w:top w:val="nil"/>
            <w:left w:val="nil"/>
            <w:bottom w:val="nil"/>
            <w:right w:val="nil"/>
          </w:tcBorders>
          <w:shd w:val="clear" w:color="auto" w:fill="01447F"/>
          <w:vAlign w:val="bottom"/>
        </w:tcPr>
        <w:p w14:paraId="22191F92" w14:textId="77777777" w:rsidR="00171869" w:rsidRDefault="00000000">
          <w:pPr>
            <w:spacing w:after="0"/>
            <w:jc w:val="right"/>
          </w:pPr>
          <w:r>
            <w:fldChar w:fldCharType="begin"/>
          </w:r>
          <w:r>
            <w:instrText xml:space="preserve"> PAGE   \* MERGEFORMAT </w:instrText>
          </w:r>
          <w:r>
            <w:fldChar w:fldCharType="separate"/>
          </w:r>
          <w:r>
            <w:rPr>
              <w:rFonts w:ascii="Arial" w:eastAsia="Arial" w:hAnsi="Arial" w:cs="Arial"/>
              <w:b/>
              <w:color w:val="FFFFFF"/>
              <w:sz w:val="80"/>
            </w:rPr>
            <w:t>1</w:t>
          </w:r>
          <w:r>
            <w:rPr>
              <w:rFonts w:ascii="Arial" w:eastAsia="Arial" w:hAnsi="Arial" w:cs="Arial"/>
              <w:b/>
              <w:color w:val="FFFFFF"/>
              <w:sz w:val="80"/>
            </w:rPr>
            <w:fldChar w:fldCharType="end"/>
          </w:r>
        </w:p>
      </w:tc>
    </w:tr>
  </w:tbl>
  <w:p w14:paraId="0BC04F11" w14:textId="77777777" w:rsidR="00171869" w:rsidRDefault="00171869">
    <w:pPr>
      <w:spacing w:after="0"/>
      <w:ind w:left="-700" w:right="1154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5640"/>
      <w:tblOverlap w:val="never"/>
      <w:tblW w:w="11900" w:type="dxa"/>
      <w:tblInd w:w="0" w:type="dxa"/>
      <w:tblCellMar>
        <w:top w:w="0" w:type="dxa"/>
        <w:left w:w="115" w:type="dxa"/>
        <w:bottom w:w="157" w:type="dxa"/>
        <w:right w:w="838" w:type="dxa"/>
      </w:tblCellMar>
      <w:tblLook w:val="04A0" w:firstRow="1" w:lastRow="0" w:firstColumn="1" w:lastColumn="0" w:noHBand="0" w:noVBand="1"/>
    </w:tblPr>
    <w:tblGrid>
      <w:gridCol w:w="11900"/>
    </w:tblGrid>
    <w:tr w:rsidR="00171869" w14:paraId="16DA8A68" w14:textId="77777777">
      <w:trPr>
        <w:trHeight w:val="1200"/>
      </w:trPr>
      <w:tc>
        <w:tcPr>
          <w:tcW w:w="11900" w:type="dxa"/>
          <w:tcBorders>
            <w:top w:val="nil"/>
            <w:left w:val="nil"/>
            <w:bottom w:val="nil"/>
            <w:right w:val="nil"/>
          </w:tcBorders>
          <w:shd w:val="clear" w:color="auto" w:fill="01447F"/>
          <w:vAlign w:val="bottom"/>
        </w:tcPr>
        <w:p w14:paraId="5A7A09E5" w14:textId="77777777" w:rsidR="00171869" w:rsidRDefault="00000000">
          <w:pPr>
            <w:spacing w:after="0"/>
            <w:jc w:val="right"/>
          </w:pPr>
          <w:r>
            <w:fldChar w:fldCharType="begin"/>
          </w:r>
          <w:r>
            <w:instrText xml:space="preserve"> PAGE   \* MERGEFORMAT </w:instrText>
          </w:r>
          <w:r>
            <w:fldChar w:fldCharType="separate"/>
          </w:r>
          <w:r>
            <w:rPr>
              <w:rFonts w:ascii="Arial" w:eastAsia="Arial" w:hAnsi="Arial" w:cs="Arial"/>
              <w:b/>
              <w:color w:val="FFFFFF"/>
              <w:sz w:val="80"/>
            </w:rPr>
            <w:t>1</w:t>
          </w:r>
          <w:r>
            <w:rPr>
              <w:rFonts w:ascii="Arial" w:eastAsia="Arial" w:hAnsi="Arial" w:cs="Arial"/>
              <w:b/>
              <w:color w:val="FFFFFF"/>
              <w:sz w:val="80"/>
            </w:rPr>
            <w:fldChar w:fldCharType="end"/>
          </w:r>
        </w:p>
      </w:tc>
    </w:tr>
  </w:tbl>
  <w:p w14:paraId="58FC870E" w14:textId="77777777" w:rsidR="00171869" w:rsidRDefault="00171869">
    <w:pPr>
      <w:spacing w:after="0"/>
      <w:ind w:left="-700" w:right="1154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5640"/>
      <w:tblOverlap w:val="never"/>
      <w:tblW w:w="11900" w:type="dxa"/>
      <w:tblInd w:w="0" w:type="dxa"/>
      <w:tblCellMar>
        <w:top w:w="0" w:type="dxa"/>
        <w:left w:w="115" w:type="dxa"/>
        <w:bottom w:w="157" w:type="dxa"/>
        <w:right w:w="838" w:type="dxa"/>
      </w:tblCellMar>
      <w:tblLook w:val="04A0" w:firstRow="1" w:lastRow="0" w:firstColumn="1" w:lastColumn="0" w:noHBand="0" w:noVBand="1"/>
    </w:tblPr>
    <w:tblGrid>
      <w:gridCol w:w="11900"/>
    </w:tblGrid>
    <w:tr w:rsidR="00171869" w14:paraId="32DEAF66" w14:textId="77777777">
      <w:trPr>
        <w:trHeight w:val="1200"/>
      </w:trPr>
      <w:tc>
        <w:tcPr>
          <w:tcW w:w="11900" w:type="dxa"/>
          <w:tcBorders>
            <w:top w:val="nil"/>
            <w:left w:val="nil"/>
            <w:bottom w:val="nil"/>
            <w:right w:val="nil"/>
          </w:tcBorders>
          <w:shd w:val="clear" w:color="auto" w:fill="01447F"/>
          <w:vAlign w:val="bottom"/>
        </w:tcPr>
        <w:p w14:paraId="29E78B7B" w14:textId="77777777" w:rsidR="00171869" w:rsidRDefault="00000000">
          <w:pPr>
            <w:spacing w:after="0"/>
            <w:jc w:val="right"/>
          </w:pPr>
          <w:r>
            <w:fldChar w:fldCharType="begin"/>
          </w:r>
          <w:r>
            <w:instrText xml:space="preserve"> PAGE   \* MERGEFORMAT </w:instrText>
          </w:r>
          <w:r>
            <w:fldChar w:fldCharType="separate"/>
          </w:r>
          <w:r>
            <w:rPr>
              <w:rFonts w:ascii="Arial" w:eastAsia="Arial" w:hAnsi="Arial" w:cs="Arial"/>
              <w:b/>
              <w:color w:val="FFFFFF"/>
              <w:sz w:val="80"/>
            </w:rPr>
            <w:t>1</w:t>
          </w:r>
          <w:r>
            <w:rPr>
              <w:rFonts w:ascii="Arial" w:eastAsia="Arial" w:hAnsi="Arial" w:cs="Arial"/>
              <w:b/>
              <w:color w:val="FFFFFF"/>
              <w:sz w:val="80"/>
            </w:rPr>
            <w:fldChar w:fldCharType="end"/>
          </w:r>
        </w:p>
      </w:tc>
    </w:tr>
  </w:tbl>
  <w:p w14:paraId="23FB9AFF" w14:textId="77777777" w:rsidR="00171869" w:rsidRDefault="00171869">
    <w:pPr>
      <w:spacing w:after="0"/>
      <w:ind w:left="-700" w:right="1154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EC085" w14:textId="77777777" w:rsidR="00DA7EE3" w:rsidRDefault="00DA7EE3">
      <w:pPr>
        <w:spacing w:after="0" w:line="240" w:lineRule="auto"/>
      </w:pPr>
      <w:r>
        <w:separator/>
      </w:r>
    </w:p>
  </w:footnote>
  <w:footnote w:type="continuationSeparator" w:id="0">
    <w:p w14:paraId="1BB2A1D9" w14:textId="77777777" w:rsidR="00DA7EE3" w:rsidRDefault="00DA7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191C4" w14:textId="77777777" w:rsidR="00171869" w:rsidRDefault="00000000">
    <w:r>
      <w:rPr>
        <w:noProof/>
      </w:rPr>
      <mc:AlternateContent>
        <mc:Choice Requires="wpg">
          <w:drawing>
            <wp:anchor distT="0" distB="0" distL="114300" distR="114300" simplePos="0" relativeHeight="251658240" behindDoc="1" locked="0" layoutInCell="1" allowOverlap="1" wp14:anchorId="37ED3848" wp14:editId="2294EC43">
              <wp:simplePos x="0" y="0"/>
              <wp:positionH relativeFrom="page">
                <wp:posOffset>0</wp:posOffset>
              </wp:positionH>
              <wp:positionV relativeFrom="page">
                <wp:posOffset>0</wp:posOffset>
              </wp:positionV>
              <wp:extent cx="406400" cy="9931400"/>
              <wp:effectExtent l="0" t="0" r="0" b="0"/>
              <wp:wrapNone/>
              <wp:docPr id="6391" name="Group 6391"/>
              <wp:cNvGraphicFramePr/>
              <a:graphic xmlns:a="http://schemas.openxmlformats.org/drawingml/2006/main">
                <a:graphicData uri="http://schemas.microsoft.com/office/word/2010/wordprocessingGroup">
                  <wpg:wgp>
                    <wpg:cNvGrpSpPr/>
                    <wpg:grpSpPr>
                      <a:xfrm>
                        <a:off x="0" y="0"/>
                        <a:ext cx="406400" cy="9931400"/>
                        <a:chOff x="0" y="0"/>
                        <a:chExt cx="406400" cy="9931400"/>
                      </a:xfrm>
                    </wpg:grpSpPr>
                    <wps:wsp>
                      <wps:cNvPr id="6892" name="Shape 6892"/>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g:wgp>
                </a:graphicData>
              </a:graphic>
            </wp:anchor>
          </w:drawing>
        </mc:Choice>
        <mc:Fallback xmlns:a="http://schemas.openxmlformats.org/drawingml/2006/main">
          <w:pict>
            <v:group id="Group 6391" style="width:32pt;height:782pt;position:absolute;z-index:-2147483648;mso-position-horizontal-relative:page;mso-position-horizontal:absolute;margin-left:0pt;mso-position-vertical-relative:page;margin-top:0pt;" coordsize="4064,99314">
              <v:shape id="Shape 6893" style="position:absolute;width:4064;height:99314;left:0;top:0;" coordsize="406400,9931400" path="m0,0l406400,0l406400,9931400l0,9931400l0,0">
                <v:stroke weight="0pt" endcap="square" joinstyle="miter" miterlimit="10" on="false" color="#000000" opacity="0"/>
                <v:fill on="true" color="#01447f"/>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3FA2C" w14:textId="77777777" w:rsidR="00171869" w:rsidRDefault="00000000">
    <w:r>
      <w:rPr>
        <w:noProof/>
      </w:rPr>
      <mc:AlternateContent>
        <mc:Choice Requires="wpg">
          <w:drawing>
            <wp:anchor distT="0" distB="0" distL="114300" distR="114300" simplePos="0" relativeHeight="251659264" behindDoc="1" locked="0" layoutInCell="1" allowOverlap="1" wp14:anchorId="46389278" wp14:editId="0357CE0E">
              <wp:simplePos x="0" y="0"/>
              <wp:positionH relativeFrom="page">
                <wp:posOffset>0</wp:posOffset>
              </wp:positionH>
              <wp:positionV relativeFrom="page">
                <wp:posOffset>0</wp:posOffset>
              </wp:positionV>
              <wp:extent cx="406400" cy="9931400"/>
              <wp:effectExtent l="0" t="0" r="0" b="0"/>
              <wp:wrapNone/>
              <wp:docPr id="6376" name="Group 6376"/>
              <wp:cNvGraphicFramePr/>
              <a:graphic xmlns:a="http://schemas.openxmlformats.org/drawingml/2006/main">
                <a:graphicData uri="http://schemas.microsoft.com/office/word/2010/wordprocessingGroup">
                  <wpg:wgp>
                    <wpg:cNvGrpSpPr/>
                    <wpg:grpSpPr>
                      <a:xfrm>
                        <a:off x="0" y="0"/>
                        <a:ext cx="406400" cy="9931400"/>
                        <a:chOff x="0" y="0"/>
                        <a:chExt cx="406400" cy="9931400"/>
                      </a:xfrm>
                    </wpg:grpSpPr>
                    <wps:wsp>
                      <wps:cNvPr id="6890" name="Shape 6890"/>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g:wgp>
                </a:graphicData>
              </a:graphic>
            </wp:anchor>
          </w:drawing>
        </mc:Choice>
        <mc:Fallback xmlns:a="http://schemas.openxmlformats.org/drawingml/2006/main">
          <w:pict>
            <v:group id="Group 6376" style="width:32pt;height:782pt;position:absolute;z-index:-2147483648;mso-position-horizontal-relative:page;mso-position-horizontal:absolute;margin-left:0pt;mso-position-vertical-relative:page;margin-top:0pt;" coordsize="4064,99314">
              <v:shape id="Shape 6891" style="position:absolute;width:4064;height:99314;left:0;top:0;" coordsize="406400,9931400" path="m0,0l406400,0l406400,9931400l0,9931400l0,0">
                <v:stroke weight="0pt" endcap="square" joinstyle="miter" miterlimit="10" on="false" color="#000000" opacity="0"/>
                <v:fill on="true" color="#01447f"/>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DF322" w14:textId="77777777" w:rsidR="00171869" w:rsidRDefault="00000000">
    <w:r>
      <w:rPr>
        <w:noProof/>
      </w:rPr>
      <mc:AlternateContent>
        <mc:Choice Requires="wpg">
          <w:drawing>
            <wp:anchor distT="0" distB="0" distL="114300" distR="114300" simplePos="0" relativeHeight="251660288" behindDoc="1" locked="0" layoutInCell="1" allowOverlap="1" wp14:anchorId="5A889500" wp14:editId="44C8F764">
              <wp:simplePos x="0" y="0"/>
              <wp:positionH relativeFrom="page">
                <wp:posOffset>0</wp:posOffset>
              </wp:positionH>
              <wp:positionV relativeFrom="page">
                <wp:posOffset>0</wp:posOffset>
              </wp:positionV>
              <wp:extent cx="406400" cy="9931400"/>
              <wp:effectExtent l="0" t="0" r="0" b="0"/>
              <wp:wrapNone/>
              <wp:docPr id="6361" name="Group 6361"/>
              <wp:cNvGraphicFramePr/>
              <a:graphic xmlns:a="http://schemas.openxmlformats.org/drawingml/2006/main">
                <a:graphicData uri="http://schemas.microsoft.com/office/word/2010/wordprocessingGroup">
                  <wpg:wgp>
                    <wpg:cNvGrpSpPr/>
                    <wpg:grpSpPr>
                      <a:xfrm>
                        <a:off x="0" y="0"/>
                        <a:ext cx="406400" cy="9931400"/>
                        <a:chOff x="0" y="0"/>
                        <a:chExt cx="406400" cy="9931400"/>
                      </a:xfrm>
                    </wpg:grpSpPr>
                    <wps:wsp>
                      <wps:cNvPr id="6888" name="Shape 6888"/>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g:wgp>
                </a:graphicData>
              </a:graphic>
            </wp:anchor>
          </w:drawing>
        </mc:Choice>
        <mc:Fallback xmlns:a="http://schemas.openxmlformats.org/drawingml/2006/main">
          <w:pict>
            <v:group id="Group 6361" style="width:32pt;height:782pt;position:absolute;z-index:-2147483648;mso-position-horizontal-relative:page;mso-position-horizontal:absolute;margin-left:0pt;mso-position-vertical-relative:page;margin-top:0pt;" coordsize="4064,99314">
              <v:shape id="Shape 6889" style="position:absolute;width:4064;height:99314;left:0;top:0;" coordsize="406400,9931400" path="m0,0l406400,0l406400,9931400l0,9931400l0,0">
                <v:stroke weight="0pt" endcap="square" joinstyle="miter" miterlimit="10" on="false" color="#000000" opacity="0"/>
                <v:fill on="true" color="#01447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7C83"/>
    <w:multiLevelType w:val="hybridMultilevel"/>
    <w:tmpl w:val="25C454EE"/>
    <w:lvl w:ilvl="0" w:tplc="AD9A73D2">
      <w:start w:val="1"/>
      <w:numFmt w:val="decimal"/>
      <w:lvlText w:val="%1)"/>
      <w:lvlJc w:val="left"/>
      <w:pPr>
        <w:ind w:left="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B2F87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480E14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810797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600A4D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726FEC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054E21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3868DD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126214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5AA4149"/>
    <w:multiLevelType w:val="hybridMultilevel"/>
    <w:tmpl w:val="BB36B990"/>
    <w:lvl w:ilvl="0" w:tplc="6FE05810">
      <w:start w:val="1"/>
      <w:numFmt w:val="decimal"/>
      <w:lvlText w:val="%1)"/>
      <w:lvlJc w:val="left"/>
      <w:pPr>
        <w:ind w:left="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F5A3C7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748ACA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07E6B3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E2E5F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7A0069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FB2F2F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9367EF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6D6715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B8F736A"/>
    <w:multiLevelType w:val="hybridMultilevel"/>
    <w:tmpl w:val="0668474E"/>
    <w:lvl w:ilvl="0" w:tplc="FB06B260">
      <w:start w:val="1"/>
      <w:numFmt w:val="decimal"/>
      <w:lvlText w:val="%1."/>
      <w:lvlJc w:val="left"/>
      <w:pPr>
        <w:ind w:left="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4D8EA24">
      <w:start w:val="1"/>
      <w:numFmt w:val="lowerLetter"/>
      <w:lvlText w:val="%2"/>
      <w:lvlJc w:val="left"/>
      <w:pPr>
        <w:ind w:left="1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DD6AB18">
      <w:start w:val="1"/>
      <w:numFmt w:val="lowerRoman"/>
      <w:lvlText w:val="%3"/>
      <w:lvlJc w:val="left"/>
      <w:pPr>
        <w:ind w:left="18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BDA89B2">
      <w:start w:val="1"/>
      <w:numFmt w:val="decimal"/>
      <w:lvlText w:val="%4"/>
      <w:lvlJc w:val="left"/>
      <w:pPr>
        <w:ind w:left="2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D4CB74">
      <w:start w:val="1"/>
      <w:numFmt w:val="lowerLetter"/>
      <w:lvlText w:val="%5"/>
      <w:lvlJc w:val="left"/>
      <w:pPr>
        <w:ind w:left="3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8806550">
      <w:start w:val="1"/>
      <w:numFmt w:val="lowerRoman"/>
      <w:lvlText w:val="%6"/>
      <w:lvlJc w:val="left"/>
      <w:pPr>
        <w:ind w:left="3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97AC12E">
      <w:start w:val="1"/>
      <w:numFmt w:val="decimal"/>
      <w:lvlText w:val="%7"/>
      <w:lvlJc w:val="left"/>
      <w:pPr>
        <w:ind w:left="4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32106E">
      <w:start w:val="1"/>
      <w:numFmt w:val="lowerLetter"/>
      <w:lvlText w:val="%8"/>
      <w:lvlJc w:val="left"/>
      <w:pPr>
        <w:ind w:left="5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2787106">
      <w:start w:val="1"/>
      <w:numFmt w:val="lowerRoman"/>
      <w:lvlText w:val="%9"/>
      <w:lvlJc w:val="left"/>
      <w:pPr>
        <w:ind w:left="6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36219BC"/>
    <w:multiLevelType w:val="hybridMultilevel"/>
    <w:tmpl w:val="002E670A"/>
    <w:lvl w:ilvl="0" w:tplc="40A44B90">
      <w:start w:val="1"/>
      <w:numFmt w:val="decimal"/>
      <w:lvlText w:val="%1."/>
      <w:lvlJc w:val="left"/>
      <w:pPr>
        <w:ind w:left="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3D274C2">
      <w:start w:val="1"/>
      <w:numFmt w:val="lowerLetter"/>
      <w:lvlText w:val="%2"/>
      <w:lvlJc w:val="left"/>
      <w:pPr>
        <w:ind w:left="1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5149CDC">
      <w:start w:val="1"/>
      <w:numFmt w:val="lowerRoman"/>
      <w:lvlText w:val="%3"/>
      <w:lvlJc w:val="left"/>
      <w:pPr>
        <w:ind w:left="18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100043E">
      <w:start w:val="1"/>
      <w:numFmt w:val="decimal"/>
      <w:lvlText w:val="%4"/>
      <w:lvlJc w:val="left"/>
      <w:pPr>
        <w:ind w:left="2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1674DA">
      <w:start w:val="1"/>
      <w:numFmt w:val="lowerLetter"/>
      <w:lvlText w:val="%5"/>
      <w:lvlJc w:val="left"/>
      <w:pPr>
        <w:ind w:left="3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7FC0DBE">
      <w:start w:val="1"/>
      <w:numFmt w:val="lowerRoman"/>
      <w:lvlText w:val="%6"/>
      <w:lvlJc w:val="left"/>
      <w:pPr>
        <w:ind w:left="3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19A4FDE">
      <w:start w:val="1"/>
      <w:numFmt w:val="decimal"/>
      <w:lvlText w:val="%7"/>
      <w:lvlJc w:val="left"/>
      <w:pPr>
        <w:ind w:left="4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8E8390">
      <w:start w:val="1"/>
      <w:numFmt w:val="lowerLetter"/>
      <w:lvlText w:val="%8"/>
      <w:lvlJc w:val="left"/>
      <w:pPr>
        <w:ind w:left="5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2762EC8">
      <w:start w:val="1"/>
      <w:numFmt w:val="lowerRoman"/>
      <w:lvlText w:val="%9"/>
      <w:lvlJc w:val="left"/>
      <w:pPr>
        <w:ind w:left="6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2138599062">
    <w:abstractNumId w:val="3"/>
  </w:num>
  <w:num w:numId="2" w16cid:durableId="1149320794">
    <w:abstractNumId w:val="0"/>
  </w:num>
  <w:num w:numId="3" w16cid:durableId="226187378">
    <w:abstractNumId w:val="1"/>
  </w:num>
  <w:num w:numId="4" w16cid:durableId="792330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869"/>
    <w:rsid w:val="00171869"/>
    <w:rsid w:val="001C76E3"/>
    <w:rsid w:val="00DA7EE3"/>
    <w:rsid w:val="00FD07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1C61F"/>
  <w15:docId w15:val="{BF08E537-A5AD-42CD-B0C8-D6E65386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Ttulo1">
    <w:name w:val="heading 1"/>
    <w:next w:val="Normal"/>
    <w:link w:val="Ttulo1Char"/>
    <w:uiPriority w:val="9"/>
    <w:qFormat/>
    <w:pPr>
      <w:keepNext/>
      <w:keepLines/>
      <w:spacing w:after="222" w:line="259" w:lineRule="auto"/>
      <w:ind w:left="200"/>
      <w:jc w:val="center"/>
      <w:outlineLvl w:val="0"/>
    </w:pPr>
    <w:rPr>
      <w:rFonts w:ascii="Arial" w:eastAsia="Arial" w:hAnsi="Arial" w:cs="Arial"/>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etcdf.tc.df.gov.br/?a=consultaETCDF&amp;f=formPrincipal&amp;edoc=5F482C9B" TargetMode="External"/><Relationship Id="rId18" Type="http://schemas.openxmlformats.org/officeDocument/2006/relationships/hyperlink" Target="http://www.planalto.gov.br/ccivil_03/leis/lcp/Lcp173.htm" TargetMode="External"/><Relationship Id="rId26" Type="http://schemas.openxmlformats.org/officeDocument/2006/relationships/hyperlink" Target="https://www.sinj.df.gov.br/sinj/Norma/eeef96df570e4f95b03502793418ab77/tcdf_in_03_2021.html" TargetMode="External"/><Relationship Id="rId39" Type="http://schemas.openxmlformats.org/officeDocument/2006/relationships/hyperlink" Target="http://www.planalto.gov.br/ccivil_03/leis/2002/l10406.htm" TargetMode="External"/><Relationship Id="rId21" Type="http://schemas.openxmlformats.org/officeDocument/2006/relationships/hyperlink" Target="http://www.sinj.df.gov.br/sinj/DetalhesDeNorma.aspx?id_norma=103f06688360405fbd9c5562e47f95a7" TargetMode="External"/><Relationship Id="rId34" Type="http://schemas.openxmlformats.org/officeDocument/2006/relationships/hyperlink" Target="http://www.planalto.gov.br/ccivil_03/leis/2002/l10406.htm" TargetMode="External"/><Relationship Id="rId42" Type="http://schemas.openxmlformats.org/officeDocument/2006/relationships/hyperlink" Target="http://www.sinj.df.gov.br/sinj/DetalhesDeNorma.aspx?id_norma=70196" TargetMode="External"/><Relationship Id="rId47" Type="http://schemas.openxmlformats.org/officeDocument/2006/relationships/hyperlink" Target="http://www.planalto.gov.br/ccivil_03/_ato2011-2014/2014/lei/l13019.htm" TargetMode="External"/><Relationship Id="rId50" Type="http://schemas.openxmlformats.org/officeDocument/2006/relationships/hyperlink" Target="https://etcdf.tc.df.gov.br/?a=consultaETCDF&amp;f=formPrincipal&amp;edoc=A52D3966" TargetMode="External"/><Relationship Id="rId55" Type="http://schemas.openxmlformats.org/officeDocument/2006/relationships/hyperlink" Target="https://etcdf.tc.df.gov.br/?a=consultaETCDF&amp;f=formPrincipal&amp;edoc=F80008C4" TargetMode="External"/><Relationship Id="rId63" Type="http://schemas.openxmlformats.org/officeDocument/2006/relationships/hyperlink" Target="https://etcdf.tc.df.gov.br/?a=consultaETCDF&amp;f=formPrincipal&amp;edoc=FC167463" TargetMode="External"/><Relationship Id="rId68" Type="http://schemas.openxmlformats.org/officeDocument/2006/relationships/hyperlink" Target="https://etcdf.tc.df.gov.br/?a=consultaETCDF&amp;f=formPrincipal&amp;edoc=32AC2920" TargetMode="External"/><Relationship Id="rId76" Type="http://schemas.openxmlformats.org/officeDocument/2006/relationships/hyperlink" Target="https://etcdf.tc.df.gov.br/?a=consultaETCDF&amp;f=formPrincipal&amp;edoc=0AFF8109" TargetMode="External"/><Relationship Id="rId84" Type="http://schemas.openxmlformats.org/officeDocument/2006/relationships/hyperlink" Target="https://etcdf.tc.df.gov.br/?a=consultaETCDF&amp;f=formPrincipal&amp;edoc=AFE51A8B" TargetMode="External"/><Relationship Id="rId89" Type="http://schemas.openxmlformats.org/officeDocument/2006/relationships/header" Target="header2.xml"/><Relationship Id="rId7" Type="http://schemas.openxmlformats.org/officeDocument/2006/relationships/image" Target="media/image1.jpg"/><Relationship Id="rId71" Type="http://schemas.openxmlformats.org/officeDocument/2006/relationships/hyperlink" Target="https://etcdf.tc.df.gov.br/?a=consultaETCDF&amp;f=formPrincipal&amp;edoc=77802448" TargetMode="External"/><Relationship Id="rId92"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tcnotas.tce.mg.gov.br/tcjuris/Nota/BuscarArquivo/3072697" TargetMode="External"/><Relationship Id="rId29" Type="http://schemas.openxmlformats.org/officeDocument/2006/relationships/hyperlink" Target="http://www.sinj.df.gov.br/sinj/DetalhesDeNorma.aspx?id_norma=dafaadb15ff3452f82afc4390b5ee432" TargetMode="External"/><Relationship Id="rId11" Type="http://schemas.openxmlformats.org/officeDocument/2006/relationships/hyperlink" Target="https://etcdf.tc.df.gov.br/?a=consultaETCDF&amp;f=formPrincipal&amp;edoc=380C4FDB" TargetMode="External"/><Relationship Id="rId24" Type="http://schemas.openxmlformats.org/officeDocument/2006/relationships/hyperlink" Target="https://etcdf.tc.df.gov.br/?a=consultaETCDF&amp;f=formPrincipal&amp;edoc=1BA8F2EF" TargetMode="External"/><Relationship Id="rId32" Type="http://schemas.openxmlformats.org/officeDocument/2006/relationships/hyperlink" Target="http://www.planalto.gov.br/ccivil_03/leis/2002/l10406.htm" TargetMode="External"/><Relationship Id="rId37" Type="http://schemas.openxmlformats.org/officeDocument/2006/relationships/hyperlink" Target="http://www.planalto.gov.br/ccivil_03/leis/2002/l10406.htm" TargetMode="External"/><Relationship Id="rId40" Type="http://schemas.openxmlformats.org/officeDocument/2006/relationships/hyperlink" Target="https://etcdf.tc.df.gov.br/?a=consultaETCDF&amp;f=formPrincipal&amp;edoc=EE8D7926" TargetMode="External"/><Relationship Id="rId45" Type="http://schemas.openxmlformats.org/officeDocument/2006/relationships/hyperlink" Target="https://etcdf.tc.df.gov.br/?a=consultaETCDF&amp;f=formPrincipal&amp;edoc=380C4FDB" TargetMode="External"/><Relationship Id="rId53" Type="http://schemas.openxmlformats.org/officeDocument/2006/relationships/hyperlink" Target="https://etcdf.tc.df.gov.br/?a=consultaETCDF&amp;f=formPrincipal&amp;edoc=AB4C22E6" TargetMode="External"/><Relationship Id="rId58" Type="http://schemas.openxmlformats.org/officeDocument/2006/relationships/hyperlink" Target="https://etcdf.tc.df.gov.br/?a=consultaETCDF&amp;f=formPrincipal&amp;edoc=B736237B" TargetMode="External"/><Relationship Id="rId66" Type="http://schemas.openxmlformats.org/officeDocument/2006/relationships/hyperlink" Target="https://etcdf.tc.df.gov.br/?a=consultaETCDF&amp;f=formPrincipal&amp;edoc=10DAE05A" TargetMode="External"/><Relationship Id="rId74" Type="http://schemas.openxmlformats.org/officeDocument/2006/relationships/hyperlink" Target="https://etcdf.tc.df.gov.br/?a=consultaETCDF&amp;f=formPrincipal&amp;edoc=2D9DBBF9" TargetMode="External"/><Relationship Id="rId79" Type="http://schemas.openxmlformats.org/officeDocument/2006/relationships/hyperlink" Target="https://etcdf.tc.df.gov.br/?a=consultaETCDF&amp;f=formPrincipal&amp;edoc=18FD5010" TargetMode="External"/><Relationship Id="rId87" Type="http://schemas.openxmlformats.org/officeDocument/2006/relationships/hyperlink" Target="https://etcdf.tc.df.gov.br/?a=consultaETCDF&amp;f=formPrincipal&amp;edoc=AA6758AF" TargetMode="External"/><Relationship Id="rId5" Type="http://schemas.openxmlformats.org/officeDocument/2006/relationships/footnotes" Target="footnotes.xml"/><Relationship Id="rId61" Type="http://schemas.openxmlformats.org/officeDocument/2006/relationships/hyperlink" Target="https://etcdf.tc.df.gov.br/?a=consultaETCDF&amp;f=formPrincipal&amp;edoc=64DED5C8" TargetMode="External"/><Relationship Id="rId82" Type="http://schemas.openxmlformats.org/officeDocument/2006/relationships/hyperlink" Target="https://etcdf.tc.df.gov.br/?a=consultaETCDF&amp;f=formPrincipal&amp;edoc=0791A4C9" TargetMode="External"/><Relationship Id="rId90" Type="http://schemas.openxmlformats.org/officeDocument/2006/relationships/footer" Target="footer1.xml"/><Relationship Id="rId95" Type="http://schemas.openxmlformats.org/officeDocument/2006/relationships/theme" Target="theme/theme1.xml"/><Relationship Id="rId19" Type="http://schemas.openxmlformats.org/officeDocument/2006/relationships/hyperlink" Target="https://www.planalto.gov.br/ccivil_03/leis/lcp/Lcp191.htm" TargetMode="External"/><Relationship Id="rId14" Type="http://schemas.openxmlformats.org/officeDocument/2006/relationships/hyperlink" Target="https://redir.stf.jus.br/paginadorpub/paginador.jsp?docTP=TP&amp;docID=755400854" TargetMode="External"/><Relationship Id="rId22" Type="http://schemas.openxmlformats.org/officeDocument/2006/relationships/hyperlink" Target="https://www.sinj.df.gov.br/sinj/Norma/b80a8a4d8aa44de381fc5ab6ea24e95b/Lei_6456_26_12_2019.html" TargetMode="External"/><Relationship Id="rId27" Type="http://schemas.openxmlformats.org/officeDocument/2006/relationships/hyperlink" Target="http://www.planalto.gov.br/ccivil_03/_ato2011-2014/2014/lei/l13019.htm" TargetMode="External"/><Relationship Id="rId30" Type="http://schemas.openxmlformats.org/officeDocument/2006/relationships/hyperlink" Target="http://www.sinj.df.gov.br/sinj/DetalhesDeNorma.aspx?id_norma=dafaadb15ff3452f82afc4390b5ee432" TargetMode="External"/><Relationship Id="rId35" Type="http://schemas.openxmlformats.org/officeDocument/2006/relationships/hyperlink" Target="http://www.planalto.gov.br/ccivil_03/leis/2002/l10406.htm" TargetMode="External"/><Relationship Id="rId43" Type="http://schemas.openxmlformats.org/officeDocument/2006/relationships/hyperlink" Target="https://etcdf.tc.df.gov.br/?a=consultaETCDF&amp;f=formPrincipal&amp;edoc=5C9A5C92" TargetMode="External"/><Relationship Id="rId48" Type="http://schemas.openxmlformats.org/officeDocument/2006/relationships/hyperlink" Target="http://www.planalto.gov.br/ccivil_03/constituicao/constituicaocompilado.htm" TargetMode="External"/><Relationship Id="rId56" Type="http://schemas.openxmlformats.org/officeDocument/2006/relationships/hyperlink" Target="https://etcdf.tc.df.gov.br/?a=consultaETCDF&amp;f=formPrincipal&amp;edoc=35D41B36" TargetMode="External"/><Relationship Id="rId64" Type="http://schemas.openxmlformats.org/officeDocument/2006/relationships/hyperlink" Target="https://etcdf.tc.df.gov.br/?a=consultaETCDF&amp;f=formPrincipal&amp;edoc=AF22FC24" TargetMode="External"/><Relationship Id="rId69" Type="http://schemas.openxmlformats.org/officeDocument/2006/relationships/hyperlink" Target="https://etcdf.tc.df.gov.br/?a=consultaETCDF&amp;f=formPrincipal&amp;edoc=2AB2C7C4" TargetMode="External"/><Relationship Id="rId77" Type="http://schemas.openxmlformats.org/officeDocument/2006/relationships/hyperlink" Target="https://etcdf.tc.df.gov.br/?a=consultaETCDF&amp;f=formPrincipal&amp;edoc=996211BB" TargetMode="External"/><Relationship Id="rId8" Type="http://schemas.openxmlformats.org/officeDocument/2006/relationships/image" Target="media/image2.png"/><Relationship Id="rId51" Type="http://schemas.openxmlformats.org/officeDocument/2006/relationships/hyperlink" Target="https://jurisprudencia.stf.jus.br/pages/search/sjur371898/false" TargetMode="External"/><Relationship Id="rId72" Type="http://schemas.openxmlformats.org/officeDocument/2006/relationships/hyperlink" Target="https://etcdf.tc.df.gov.br/?a=consultaETCDF&amp;f=formPrincipal&amp;edoc=72E22C16" TargetMode="External"/><Relationship Id="rId80" Type="http://schemas.openxmlformats.org/officeDocument/2006/relationships/hyperlink" Target="https://etcdf.tc.df.gov.br/?a=consultaETCDF&amp;f=formPrincipal&amp;edoc=3E337237" TargetMode="External"/><Relationship Id="rId85" Type="http://schemas.openxmlformats.org/officeDocument/2006/relationships/hyperlink" Target="https://etcdf.tc.df.gov.br/?a=consultaETCDF&amp;f=formPrincipal&amp;edoc=68C42EA7" TargetMode="External"/><Relationship Id="rId93"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hyperlink" Target="https://etcdf.tc.df.gov.br/?a=consultaETCDF&amp;f=formPrincipal&amp;edoc=8A2A07F2" TargetMode="External"/><Relationship Id="rId17" Type="http://schemas.openxmlformats.org/officeDocument/2006/relationships/hyperlink" Target="https://www1.tce.pr.gov.br/conteudo/acordao-3260-2023-do-tribunal-pleno/351233/area/10" TargetMode="External"/><Relationship Id="rId25" Type="http://schemas.openxmlformats.org/officeDocument/2006/relationships/hyperlink" Target="https://www.sinj.df.gov.br/sinj/Norma/eeef96df570e4f95b03502793418ab77/tcdf_in_03_2021.html" TargetMode="External"/><Relationship Id="rId33" Type="http://schemas.openxmlformats.org/officeDocument/2006/relationships/hyperlink" Target="http://www.planalto.gov.br/ccivil_03/leis/2002/l10406.htm" TargetMode="External"/><Relationship Id="rId38" Type="http://schemas.openxmlformats.org/officeDocument/2006/relationships/hyperlink" Target="http://www.planalto.gov.br/ccivil_03/leis/2002/l10406.htm" TargetMode="External"/><Relationship Id="rId46" Type="http://schemas.openxmlformats.org/officeDocument/2006/relationships/hyperlink" Target="https://etcdf.tc.df.gov.br/?a=consultaETCDF&amp;f=formPrincipal&amp;edoc=1C2F8CD5" TargetMode="External"/><Relationship Id="rId59" Type="http://schemas.openxmlformats.org/officeDocument/2006/relationships/hyperlink" Target="https://etcdf.tc.df.gov.br/?a=consultaETCDF&amp;f=formPrincipal&amp;edoc=481EB686" TargetMode="External"/><Relationship Id="rId67" Type="http://schemas.openxmlformats.org/officeDocument/2006/relationships/hyperlink" Target="https://etcdf.tc.df.gov.br/?a=consultaETCDF&amp;f=formPrincipal&amp;edoc=1C2F8CD5" TargetMode="External"/><Relationship Id="rId20" Type="http://schemas.openxmlformats.org/officeDocument/2006/relationships/hyperlink" Target="https://www.planalto.gov.br/ccivil_03/_ato2019-2022/2021/lei/l14128.htm" TargetMode="External"/><Relationship Id="rId41" Type="http://schemas.openxmlformats.org/officeDocument/2006/relationships/hyperlink" Target="http://www.planalto.gov.br/ccivil_03/_ato2011-2014/2014/lei/l13019.htm" TargetMode="External"/><Relationship Id="rId54" Type="http://schemas.openxmlformats.org/officeDocument/2006/relationships/hyperlink" Target="https://etcdf.tc.df.gov.br/?a=consultaETCDF&amp;f=formPrincipal&amp;edoc=40833B60" TargetMode="External"/><Relationship Id="rId62" Type="http://schemas.openxmlformats.org/officeDocument/2006/relationships/hyperlink" Target="https://etcdf.tc.df.gov.br/?a=consultaETCDF&amp;f=formPrincipal&amp;edoc=5C809064" TargetMode="External"/><Relationship Id="rId70" Type="http://schemas.openxmlformats.org/officeDocument/2006/relationships/hyperlink" Target="https://etcdf.tc.df.gov.br/?a=consultaETCDF&amp;f=formPrincipal&amp;edoc=7720B2AC" TargetMode="External"/><Relationship Id="rId75" Type="http://schemas.openxmlformats.org/officeDocument/2006/relationships/hyperlink" Target="https://etcdf.tc.df.gov.br/?a=consultaETCDF&amp;f=formPrincipal&amp;edoc=D569B9FD" TargetMode="External"/><Relationship Id="rId83" Type="http://schemas.openxmlformats.org/officeDocument/2006/relationships/hyperlink" Target="https://etcdf.tc.df.gov.br/?a=consultaETCDF&amp;f=formPrincipal&amp;edoc=7A9853A4" TargetMode="External"/><Relationship Id="rId88" Type="http://schemas.openxmlformats.org/officeDocument/2006/relationships/header" Target="header1.xml"/><Relationship Id="rId9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redir.stf.jus.br/paginadorpub/paginador.jsp?docTP=TP&amp;docID=755400855" TargetMode="External"/><Relationship Id="rId23" Type="http://schemas.openxmlformats.org/officeDocument/2006/relationships/hyperlink" Target="http://www.sinj.df.gov.br/sinj/Norma/66634/Lei_Org_nica__08_06_1993.html" TargetMode="External"/><Relationship Id="rId28" Type="http://schemas.openxmlformats.org/officeDocument/2006/relationships/hyperlink" Target="http://www.sinj.df.gov.br/sinj/DetalhesDeNorma.aspx?id_norma=dafaadb15ff3452f82afc4390b5ee432" TargetMode="External"/><Relationship Id="rId36" Type="http://schemas.openxmlformats.org/officeDocument/2006/relationships/hyperlink" Target="http://www.planalto.gov.br/ccivil_03/leis/2002/l10406.htm" TargetMode="External"/><Relationship Id="rId49" Type="http://schemas.openxmlformats.org/officeDocument/2006/relationships/hyperlink" Target="http://www.planalto.gov.br/ccivil_03/leis/l8069.htm" TargetMode="External"/><Relationship Id="rId57" Type="http://schemas.openxmlformats.org/officeDocument/2006/relationships/hyperlink" Target="https://etcdf.tc.df.gov.br/?a=consultaETCDF&amp;f=formPrincipal&amp;edoc=C7314433" TargetMode="External"/><Relationship Id="rId10" Type="http://schemas.openxmlformats.org/officeDocument/2006/relationships/image" Target="media/image1.png"/><Relationship Id="rId31" Type="http://schemas.openxmlformats.org/officeDocument/2006/relationships/hyperlink" Target="http://www.sinj.df.gov.br/sinj/DetalhesDeNorma.aspx?id_norma=dafaadb15ff3452f82afc4390b5ee432" TargetMode="External"/><Relationship Id="rId44" Type="http://schemas.openxmlformats.org/officeDocument/2006/relationships/hyperlink" Target="https://etcdf.tc.df.gov.br/?a=consultaETCDF&amp;f=formPrincipal&amp;edoc=655CBA8D" TargetMode="External"/><Relationship Id="rId52" Type="http://schemas.openxmlformats.org/officeDocument/2006/relationships/hyperlink" Target="https://jurisprudencia.stf.jus.br/pages/search/sjur518883/false" TargetMode="External"/><Relationship Id="rId60" Type="http://schemas.openxmlformats.org/officeDocument/2006/relationships/hyperlink" Target="https://etcdf.tc.df.gov.br/?a=consultaETCDF&amp;f=formPrincipal&amp;edoc=E0252CEF" TargetMode="External"/><Relationship Id="rId65" Type="http://schemas.openxmlformats.org/officeDocument/2006/relationships/hyperlink" Target="https://etcdf.tc.df.gov.br/?a=consultaETCDF&amp;f=formPrincipal&amp;edoc=2592F62B" TargetMode="External"/><Relationship Id="rId73" Type="http://schemas.openxmlformats.org/officeDocument/2006/relationships/hyperlink" Target="https://etcdf.tc.df.gov.br/?a=consultaETCDF&amp;f=formPrincipal&amp;edoc=D2DD3013" TargetMode="External"/><Relationship Id="rId78" Type="http://schemas.openxmlformats.org/officeDocument/2006/relationships/hyperlink" Target="https://etcdf.tc.df.gov.br/?a=consultaETCDF&amp;f=formPrincipal&amp;edoc=552F5E36" TargetMode="External"/><Relationship Id="rId81" Type="http://schemas.openxmlformats.org/officeDocument/2006/relationships/hyperlink" Target="https://etcdf.tc.df.gov.br/?a=consultaETCDF&amp;f=formPrincipal&amp;edoc=38106B50" TargetMode="External"/><Relationship Id="rId86" Type="http://schemas.openxmlformats.org/officeDocument/2006/relationships/hyperlink" Target="https://etcdf.tc.df.gov.br/?a=consultaETCDF&amp;f=formPrincipal&amp;edoc=C7EECB32"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0.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2738</Words>
  <Characters>14788</Characters>
  <Application>Microsoft Office Word</Application>
  <DocSecurity>0</DocSecurity>
  <Lines>123</Lines>
  <Paragraphs>34</Paragraphs>
  <ScaleCrop>false</ScaleCrop>
  <Company/>
  <LinksUpToDate>false</LinksUpToDate>
  <CharactersWithSpaces>17492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Kamili Teles De Araújo</dc:creator>
  <cp:keywords/>
  <cp:lastModifiedBy>Kamili Teles De Araújo</cp:lastModifiedBy>
  <cp:revision>2</cp:revision>
  <dcterms:created xsi:type="dcterms:W3CDTF">2026-08-26T18:53:00Z</dcterms:created>
  <dcterms:modified xsi:type="dcterms:W3CDTF">2026-08-26T18:53:00Z</dcterms:modified>
</cp:coreProperties>
</file>