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8CB78" w14:textId="77777777" w:rsidR="00D63300" w:rsidRDefault="00000000">
      <w:pPr>
        <w:shd w:val="clear" w:color="auto" w:fill="01447F"/>
        <w:spacing w:after="164" w:line="243" w:lineRule="auto"/>
        <w:ind w:left="180" w:right="3827"/>
      </w:pPr>
      <w:r>
        <w:rPr>
          <w:rFonts w:ascii="Arial" w:eastAsia="Arial" w:hAnsi="Arial" w:cs="Arial"/>
          <w:b/>
          <w:color w:val="FFFFFF"/>
          <w:sz w:val="42"/>
        </w:rPr>
        <w:t>Boletim de Jurisprudência Contas, nº 8</w:t>
      </w:r>
    </w:p>
    <w:p w14:paraId="4A127E2E" w14:textId="77777777" w:rsidR="00D63300" w:rsidRDefault="00000000">
      <w:pPr>
        <w:spacing w:after="222"/>
        <w:ind w:left="180"/>
      </w:pPr>
      <w:r>
        <w:rPr>
          <w:rFonts w:ascii="Arial" w:eastAsia="Arial" w:hAnsi="Arial" w:cs="Arial"/>
          <w:b/>
          <w:sz w:val="24"/>
        </w:rPr>
        <w:t>Sessões de julho a dezembro de 2024.</w:t>
      </w:r>
    </w:p>
    <w:p w14:paraId="427F7E68" w14:textId="77777777" w:rsidR="00D63300" w:rsidRDefault="00000000">
      <w:pPr>
        <w:spacing w:after="0" w:line="326" w:lineRule="auto"/>
        <w:ind w:left="115" w:hanging="10"/>
      </w:pPr>
      <w:r>
        <w:rPr>
          <w:rFonts w:ascii="Arial" w:eastAsia="Arial" w:hAnsi="Arial" w:cs="Arial"/>
          <w:sz w:val="24"/>
        </w:rPr>
        <w:t xml:space="preserve">     Este boletim periódico apresenta um conjunto de decisões do Tribunal de Contas do Distrito Federal (TCDF) que foram destacadas por sua relevância.</w:t>
      </w:r>
    </w:p>
    <w:p w14:paraId="30213180" w14:textId="77777777" w:rsidR="00D63300" w:rsidRDefault="00000000">
      <w:pPr>
        <w:spacing w:after="0" w:line="326" w:lineRule="auto"/>
        <w:ind w:left="115" w:hanging="10"/>
      </w:pPr>
      <w:r>
        <w:rPr>
          <w:rFonts w:ascii="Arial" w:eastAsia="Arial" w:hAnsi="Arial" w:cs="Arial"/>
          <w:sz w:val="24"/>
        </w:rPr>
        <w:t xml:space="preserve">     As decisões estão expostas por meio de resumos produzidos pela Supervisão de Legislação e Jurisprudência - SLJ ou pela ementa dos votos dos Conselheiros Relatores.</w:t>
      </w:r>
    </w:p>
    <w:p w14:paraId="0474CD8D" w14:textId="77777777" w:rsidR="00D63300" w:rsidRDefault="00000000">
      <w:pPr>
        <w:spacing w:after="0" w:line="326" w:lineRule="auto"/>
        <w:ind w:left="115" w:hanging="10"/>
      </w:pPr>
      <w:r>
        <w:rPr>
          <w:rFonts w:ascii="Arial" w:eastAsia="Arial" w:hAnsi="Arial" w:cs="Arial"/>
          <w:sz w:val="24"/>
        </w:rPr>
        <w:t xml:space="preserve">     Importante destacar que as informações não são um resumo oficial, nem refletem necessariamente a opinião dominante do Tribunal.</w:t>
      </w:r>
    </w:p>
    <w:tbl>
      <w:tblPr>
        <w:tblStyle w:val="TableGrid"/>
        <w:tblpPr w:vertAnchor="page" w:horzAnchor="page" w:tblpX="100" w:tblpY="9140"/>
        <w:tblOverlap w:val="never"/>
        <w:tblW w:w="500" w:type="dxa"/>
        <w:tblInd w:w="0" w:type="dxa"/>
        <w:tblCellMar>
          <w:top w:w="59" w:type="dxa"/>
          <w:left w:w="1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0"/>
      </w:tblGrid>
      <w:tr w:rsidR="00D63300" w14:paraId="295F448E" w14:textId="77777777">
        <w:trPr>
          <w:trHeight w:val="4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01447F"/>
          </w:tcPr>
          <w:p w14:paraId="0FFE49BB" w14:textId="77777777" w:rsidR="00D6330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28"/>
              </w:rPr>
              <w:t>1</w:t>
            </w:r>
          </w:p>
        </w:tc>
      </w:tr>
    </w:tbl>
    <w:p w14:paraId="46D5C936" w14:textId="77777777" w:rsidR="00D63300" w:rsidRDefault="00000000">
      <w:pPr>
        <w:spacing w:after="794" w:line="326" w:lineRule="auto"/>
        <w:ind w:left="11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DC9FC8F" wp14:editId="48EAF8F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966723"/>
                <wp:effectExtent l="0" t="0" r="0" b="0"/>
                <wp:wrapTopAndBottom/>
                <wp:docPr id="3126" name="Group 3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966723"/>
                          <a:chOff x="0" y="0"/>
                          <a:chExt cx="7556500" cy="966723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903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5" name="Picture 39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60960"/>
                            <a:ext cx="7482840" cy="905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126" style="width:595pt;height:76.1199pt;position:absolute;mso-position-horizontal-relative:page;mso-position-horizontal:absolute;margin-left:0pt;mso-position-vertical-relative:page;margin-top:-7.62939e-06pt;" coordsize="75565,9667">
                <v:shape id="Picture 17" style="position:absolute;width:75565;height:9032;left:0;top:0;" filled="f">
                  <v:imagedata r:id="rId9"/>
                </v:shape>
                <v:shape id="Picture 3965" style="position:absolute;width:74828;height:9052;left:609;top:609;" filled="f">
                  <v:imagedata r:id="rId1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24"/>
        </w:rPr>
        <w:t xml:space="preserve">     Para detalhes, acesse os documentos do processo pelos links fornecidos.</w:t>
      </w:r>
    </w:p>
    <w:p w14:paraId="1294FD5A" w14:textId="77777777" w:rsidR="00D63300" w:rsidRDefault="00000000">
      <w:pPr>
        <w:spacing w:after="762"/>
        <w:ind w:left="2280"/>
      </w:pPr>
      <w:r>
        <w:rPr>
          <w:noProof/>
        </w:rPr>
        <mc:AlternateContent>
          <mc:Choice Requires="wpg">
            <w:drawing>
              <wp:inline distT="0" distB="0" distL="0" distR="0" wp14:anchorId="795D7DFB" wp14:editId="12B7021E">
                <wp:extent cx="3683000" cy="12700"/>
                <wp:effectExtent l="0" t="0" r="0" b="0"/>
                <wp:docPr id="3127" name="Group 3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3000" cy="12700"/>
                          <a:chOff x="0" y="0"/>
                          <a:chExt cx="3683000" cy="12700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68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3000">
                                <a:moveTo>
                                  <a:pt x="0" y="0"/>
                                </a:moveTo>
                                <a:lnTo>
                                  <a:pt x="3683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7" style="width:290pt;height:1pt;mso-position-horizontal-relative:char;mso-position-vertical-relative:line" coordsize="36830,127">
                <v:shape id="Shape 24" style="position:absolute;width:36830;height:0;left:0;top:0;" coordsize="3683000,0" path="m0,0l368300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78C82C46" w14:textId="77777777" w:rsidR="00D63300" w:rsidRDefault="00000000">
      <w:pPr>
        <w:spacing w:after="422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CONTAS. PROCESSUAL. SECRETARIA DE ESTADO DE JUSTIÇA E CIDADANIA DO DISTRITO FEDERAL SEJUS. TOMADA DE CONTAS ESPECIAL. TERMO DE FOMENTO. ORGANIZAÇÃO DA SOCIEDADE CIVIL - OSC. MROSC. TERMO DE COMPROMISSO EM AÇÃO COMPENSATÓRIA - TCAC. NOVAÇÃO. PRESTAÇÃO DE CONTAS EXTEMPORÂNEA. ENCERRAMENTO. NECESSIDADE. PERDA DE OBJETO.</w:t>
      </w:r>
    </w:p>
    <w:p w14:paraId="32577DAE" w14:textId="77777777" w:rsidR="00D63300" w:rsidRDefault="00000000">
      <w:pPr>
        <w:numPr>
          <w:ilvl w:val="0"/>
          <w:numId w:val="1"/>
        </w:numPr>
        <w:spacing w:after="233" w:line="243" w:lineRule="auto"/>
        <w:ind w:right="4" w:hanging="10"/>
      </w:pPr>
      <w:r>
        <w:rPr>
          <w:rFonts w:ascii="Arial" w:eastAsia="Arial" w:hAnsi="Arial" w:cs="Arial"/>
          <w:sz w:val="20"/>
        </w:rPr>
        <w:t xml:space="preserve">A prestação extemporânea das contas relativas a convênio, termo de fomento ou instrumento congênere enseja </w:t>
      </w:r>
      <w:proofErr w:type="spellStart"/>
      <w:r>
        <w:rPr>
          <w:rFonts w:ascii="Arial" w:eastAsia="Arial" w:hAnsi="Arial" w:cs="Arial"/>
          <w:sz w:val="20"/>
        </w:rPr>
        <w:t>oencerramento</w:t>
      </w:r>
      <w:proofErr w:type="spellEnd"/>
      <w:r>
        <w:rPr>
          <w:rFonts w:ascii="Arial" w:eastAsia="Arial" w:hAnsi="Arial" w:cs="Arial"/>
          <w:sz w:val="20"/>
        </w:rPr>
        <w:t xml:space="preserve"> da respectiva Tomada de Contas Especial instaurada em decorrência da omissão no dever de prestar contas (Art. 59, IV, c/c § 4º, da Instrução Normativa nº 3/2021 - TCDF).</w:t>
      </w:r>
    </w:p>
    <w:p w14:paraId="617D469D" w14:textId="77777777" w:rsidR="00D63300" w:rsidRDefault="00000000">
      <w:pPr>
        <w:numPr>
          <w:ilvl w:val="0"/>
          <w:numId w:val="1"/>
        </w:numPr>
        <w:spacing w:after="3" w:line="251" w:lineRule="auto"/>
        <w:ind w:right="4" w:hanging="10"/>
      </w:pPr>
      <w:r>
        <w:rPr>
          <w:rFonts w:ascii="Arial" w:eastAsia="Arial" w:hAnsi="Arial" w:cs="Arial"/>
          <w:sz w:val="20"/>
        </w:rPr>
        <w:t>O Termo de Compromisso em Ação Compensatória (TCAC), previsto no art. 72, § 2º, da Lei Federal nº 13.019/</w:t>
      </w:r>
      <w:proofErr w:type="gramStart"/>
      <w:r>
        <w:rPr>
          <w:rFonts w:ascii="Arial" w:eastAsia="Arial" w:hAnsi="Arial" w:cs="Arial"/>
          <w:sz w:val="20"/>
        </w:rPr>
        <w:t>2014,enquadra</w:t>
      </w:r>
      <w:proofErr w:type="gramEnd"/>
      <w:r>
        <w:rPr>
          <w:rFonts w:ascii="Arial" w:eastAsia="Arial" w:hAnsi="Arial" w:cs="Arial"/>
          <w:sz w:val="20"/>
        </w:rPr>
        <w:t>-se no conceito de Termo Circunstanciado de Regularização (TCR), para fins da Instrução Normativa nº 3/2021 - TCDF, justificando o encerramento da Tomada de Contas Especial, com fulcro no art. 59, inciso IX, do referido</w:t>
      </w:r>
    </w:p>
    <w:p w14:paraId="1E0ADD0A" w14:textId="77777777" w:rsidR="00D63300" w:rsidRDefault="00D63300">
      <w:pPr>
        <w:sectPr w:rsidR="00D6330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2999" w:right="358" w:bottom="2353" w:left="720" w:header="720" w:footer="720" w:gutter="0"/>
          <w:cols w:space="720"/>
        </w:sectPr>
      </w:pPr>
    </w:p>
    <w:p w14:paraId="21CE809B" w14:textId="77777777" w:rsidR="00D63300" w:rsidRDefault="00000000">
      <w:pPr>
        <w:spacing w:after="129" w:line="251" w:lineRule="auto"/>
        <w:ind w:left="15" w:right="8" w:hanging="10"/>
        <w:jc w:val="both"/>
      </w:pPr>
      <w:r>
        <w:rPr>
          <w:rFonts w:ascii="Arial" w:eastAsia="Arial" w:hAnsi="Arial" w:cs="Arial"/>
          <w:sz w:val="20"/>
        </w:rPr>
        <w:t>normativo.</w:t>
      </w:r>
    </w:p>
    <w:p w14:paraId="0A288816" w14:textId="77777777" w:rsidR="00D63300" w:rsidRDefault="00000000">
      <w:pPr>
        <w:spacing w:after="58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Relator:</w:t>
      </w:r>
    </w:p>
    <w:p w14:paraId="4FF97C4C" w14:textId="77777777" w:rsidR="00D63300" w:rsidRDefault="00000000">
      <w:pPr>
        <w:spacing w:after="136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Vinícius Cardoso De Pinho Fragoso</w:t>
      </w:r>
    </w:p>
    <w:p w14:paraId="31225450" w14:textId="77777777" w:rsidR="00D63300" w:rsidRDefault="00000000">
      <w:pPr>
        <w:spacing w:after="438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Decisão por unanimidade</w:t>
      </w:r>
    </w:p>
    <w:p w14:paraId="0D095FB3" w14:textId="77777777" w:rsidR="00D63300" w:rsidRDefault="00000000">
      <w:pPr>
        <w:spacing w:after="158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Legislação relacionada:</w:t>
      </w:r>
    </w:p>
    <w:p w14:paraId="3BA91950" w14:textId="77777777" w:rsidR="00D63300" w:rsidRDefault="00000000">
      <w:pPr>
        <w:spacing w:after="167" w:line="265" w:lineRule="auto"/>
        <w:ind w:left="35" w:hanging="10"/>
      </w:pPr>
      <w:hyperlink r:id="rId17">
        <w:r>
          <w:rPr>
            <w:rFonts w:ascii="Arial" w:eastAsia="Arial" w:hAnsi="Arial" w:cs="Arial"/>
            <w:color w:val="2205FC"/>
            <w:sz w:val="20"/>
            <w:u w:val="single" w:color="2205FC"/>
          </w:rPr>
          <w:t>Instrução Normativa nº 3/2021, Art. 59, IV.</w:t>
        </w:r>
      </w:hyperlink>
    </w:p>
    <w:p w14:paraId="613CF03F" w14:textId="77777777" w:rsidR="00D63300" w:rsidRDefault="00000000">
      <w:pPr>
        <w:spacing w:after="58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Sessão:</w:t>
      </w:r>
    </w:p>
    <w:p w14:paraId="79D98716" w14:textId="77777777" w:rsidR="00D63300" w:rsidRDefault="00000000">
      <w:pPr>
        <w:spacing w:after="136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ORDINÁRIA nº 5389, de 31/07/2024.</w:t>
      </w:r>
    </w:p>
    <w:tbl>
      <w:tblPr>
        <w:tblStyle w:val="TableGrid"/>
        <w:tblpPr w:vertAnchor="text" w:horzAnchor="margin"/>
        <w:tblOverlap w:val="never"/>
        <w:tblW w:w="934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</w:tblGrid>
      <w:tr w:rsidR="00D63300" w14:paraId="295D902E" w14:textId="77777777">
        <w:trPr>
          <w:trHeight w:val="10220"/>
        </w:trPr>
        <w:tc>
          <w:tcPr>
            <w:tcW w:w="10823" w:type="dxa"/>
            <w:tcBorders>
              <w:top w:val="nil"/>
              <w:left w:val="nil"/>
              <w:bottom w:val="nil"/>
              <w:right w:val="nil"/>
            </w:tcBorders>
          </w:tcPr>
          <w:p w14:paraId="29204DE8" w14:textId="77777777" w:rsidR="00D63300" w:rsidRDefault="00000000">
            <w:pPr>
              <w:spacing w:after="172"/>
              <w:ind w:left="620"/>
            </w:pPr>
            <w:hyperlink r:id="rId18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Instrução Normativa nº 3/2021, Art. 59, § 4º.</w:t>
              </w:r>
            </w:hyperlink>
          </w:p>
          <w:p w14:paraId="57597AF2" w14:textId="77777777" w:rsidR="00D63300" w:rsidRDefault="00000000">
            <w:pPr>
              <w:spacing w:after="172"/>
              <w:ind w:left="620"/>
            </w:pPr>
            <w:hyperlink r:id="rId19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Lei nº 13019/2014, Art. 72, § 2º.</w:t>
              </w:r>
            </w:hyperlink>
          </w:p>
          <w:p w14:paraId="1ECE8290" w14:textId="77777777" w:rsidR="00D63300" w:rsidRDefault="00000000">
            <w:pPr>
              <w:spacing w:after="172"/>
              <w:ind w:left="620"/>
            </w:pPr>
            <w:hyperlink r:id="rId20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Decreto nº 37843/2016, Art. 61.</w:t>
              </w:r>
            </w:hyperlink>
          </w:p>
          <w:p w14:paraId="73739052" w14:textId="77777777" w:rsidR="00D63300" w:rsidRDefault="00000000">
            <w:pPr>
              <w:spacing w:after="172"/>
              <w:ind w:left="620"/>
            </w:pPr>
            <w:hyperlink r:id="rId21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Decreto nº 37843/2016, Art. 62.</w:t>
              </w:r>
            </w:hyperlink>
          </w:p>
          <w:p w14:paraId="33749AF7" w14:textId="77777777" w:rsidR="00D63300" w:rsidRDefault="00000000">
            <w:pPr>
              <w:spacing w:after="172"/>
              <w:ind w:left="620"/>
            </w:pPr>
            <w:hyperlink r:id="rId22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Decreto nº 37843/2016, Art. 63.</w:t>
              </w:r>
            </w:hyperlink>
          </w:p>
          <w:p w14:paraId="1B69D544" w14:textId="77777777" w:rsidR="00D63300" w:rsidRDefault="00000000">
            <w:pPr>
              <w:spacing w:after="172"/>
              <w:ind w:left="620"/>
            </w:pPr>
            <w:hyperlink r:id="rId23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Decreto nº 37843/2016, Art. 67.</w:t>
              </w:r>
            </w:hyperlink>
          </w:p>
          <w:p w14:paraId="46275BE2" w14:textId="77777777" w:rsidR="00D63300" w:rsidRDefault="00000000">
            <w:pPr>
              <w:spacing w:after="172"/>
              <w:ind w:left="620"/>
            </w:pPr>
            <w:hyperlink r:id="rId24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Lei nº 10406/2002, Art. 364.</w:t>
              </w:r>
            </w:hyperlink>
          </w:p>
          <w:p w14:paraId="6EFCC032" w14:textId="77777777" w:rsidR="00D63300" w:rsidRDefault="00000000">
            <w:pPr>
              <w:spacing w:after="172"/>
              <w:ind w:left="620"/>
            </w:pPr>
            <w:hyperlink r:id="rId25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Lei nº 10406/2002, Art. 360.</w:t>
              </w:r>
            </w:hyperlink>
          </w:p>
          <w:p w14:paraId="716628DC" w14:textId="77777777" w:rsidR="00D63300" w:rsidRDefault="00000000">
            <w:pPr>
              <w:spacing w:after="172"/>
              <w:ind w:left="620"/>
            </w:pPr>
            <w:hyperlink r:id="rId26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Lei nº 10406/2002, Art. 361.</w:t>
              </w:r>
            </w:hyperlink>
          </w:p>
          <w:p w14:paraId="773A72EF" w14:textId="77777777" w:rsidR="00D63300" w:rsidRDefault="00000000">
            <w:pPr>
              <w:spacing w:after="172"/>
              <w:ind w:left="620"/>
            </w:pPr>
            <w:hyperlink r:id="rId27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Lei nº 10406/2002, Art. 362.</w:t>
              </w:r>
            </w:hyperlink>
          </w:p>
          <w:p w14:paraId="18583423" w14:textId="77777777" w:rsidR="00D63300" w:rsidRDefault="00000000">
            <w:pPr>
              <w:spacing w:after="172"/>
              <w:ind w:left="620"/>
            </w:pPr>
            <w:hyperlink r:id="rId28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Lei nº 10406/2002, Art. 363.</w:t>
              </w:r>
            </w:hyperlink>
          </w:p>
          <w:p w14:paraId="0AD4D931" w14:textId="77777777" w:rsidR="00D63300" w:rsidRDefault="00000000">
            <w:pPr>
              <w:spacing w:after="172"/>
              <w:ind w:left="620"/>
            </w:pPr>
            <w:hyperlink r:id="rId29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Lei nº 10406/2002, Art. 365.</w:t>
              </w:r>
            </w:hyperlink>
          </w:p>
          <w:p w14:paraId="229CE24D" w14:textId="77777777" w:rsidR="00D63300" w:rsidRDefault="00000000">
            <w:pPr>
              <w:spacing w:after="0" w:line="438" w:lineRule="auto"/>
              <w:ind w:left="620" w:right="5976"/>
            </w:pPr>
            <w:hyperlink r:id="rId30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 xml:space="preserve">Lei nº 10406/2002, Art. 366. </w:t>
              </w:r>
            </w:hyperlink>
            <w:hyperlink r:id="rId31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Lei nº 10406/2002, Art. 367.</w:t>
              </w:r>
            </w:hyperlink>
          </w:p>
          <w:tbl>
            <w:tblPr>
              <w:tblStyle w:val="TableGrid"/>
              <w:tblpPr w:vertAnchor="text" w:tblpY="-42"/>
              <w:tblOverlap w:val="never"/>
              <w:tblW w:w="500" w:type="dxa"/>
              <w:tblInd w:w="0" w:type="dxa"/>
              <w:tblCellMar>
                <w:top w:w="59" w:type="dxa"/>
                <w:left w:w="172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00"/>
            </w:tblGrid>
            <w:tr w:rsidR="00D63300" w14:paraId="2DFB3AAB" w14:textId="77777777">
              <w:trPr>
                <w:trHeight w:val="400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1447F"/>
                </w:tcPr>
                <w:p w14:paraId="77A271F8" w14:textId="77777777" w:rsidR="00D63300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color w:val="FFFFFF"/>
                      <w:sz w:val="28"/>
                    </w:rPr>
                    <w:t>2</w:t>
                  </w:r>
                </w:p>
              </w:tc>
            </w:tr>
          </w:tbl>
          <w:p w14:paraId="1A068A77" w14:textId="77777777" w:rsidR="00D63300" w:rsidRDefault="00000000">
            <w:pPr>
              <w:spacing w:after="0" w:line="243" w:lineRule="auto"/>
              <w:ind w:left="620" w:right="-209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CONTAS. PROCESSUAL. SECRETARIA DE ESTADO DE JUSTIÇA E CIDADANIA DO DISTRITO FEDERAL SEJUS. SECRETARIA DE ESTADO DE POLÍTICAS PARA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AS  CRIANÇAS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>, ADOLESCENTES E JUVENTUDE SECRIANÇA. TOMADA DE CONTAS ESPECIAL. TERMO DE FOMENTO. ORGANIZAÇÃO DA SOCIEDADE CIVIL.</w:t>
            </w:r>
          </w:p>
          <w:p w14:paraId="07FAB0A1" w14:textId="77777777" w:rsidR="00D63300" w:rsidRDefault="00000000">
            <w:pPr>
              <w:spacing w:after="0" w:line="243" w:lineRule="auto"/>
              <w:ind w:left="620" w:right="-2095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MROSC. CITAÇÃO.  AUDIÊNCIA. ALEGAÇÕES DE DEFESA. RAZÕES DE JUSTIFICATIVA. PRESTAÇÃO DE CONTAS. ÔNUS DE COMPROVAÇÃO DA BOA E REGULAR APLICAÇÃO DOS RECURSOS. INSUFICIÊNCIA.</w:t>
            </w:r>
          </w:p>
          <w:p w14:paraId="3756C936" w14:textId="77777777" w:rsidR="00D63300" w:rsidRDefault="00000000">
            <w:pPr>
              <w:spacing w:after="430" w:line="243" w:lineRule="auto"/>
              <w:ind w:left="620" w:right="-209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INDÍCIO DE DANO. JUROS DE MORA. CIENTIFICAÇÃO PARA PAGAMENTO. INAPLICÁVEL. FALTA DE CONHECIMENTO TÉCNICO E   FINANCEIRO. MERA ALEGAÇÃO QUE NÃO AFASTA A RESPONSABILIZAÇÃO.</w:t>
            </w:r>
          </w:p>
          <w:p w14:paraId="1771E35A" w14:textId="77777777" w:rsidR="00D63300" w:rsidRDefault="00000000">
            <w:pPr>
              <w:numPr>
                <w:ilvl w:val="0"/>
                <w:numId w:val="2"/>
              </w:numPr>
              <w:spacing w:after="0" w:line="243" w:lineRule="auto"/>
              <w:ind w:right="-207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O ônus de comprovar a boa e regular aplicação dos recursos públicos repassados e a execução das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atividadespactuadas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, com fulcro na Lei Federal nº 13.019/2014, recai sobre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a  Organização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da Sociedade Civil, de forma que a insuficiência na prestação de contas configura descumprimento do ajuste 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dano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ao erário (Art. 64, caput e §1º, da Lei Federal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nº  13.019</w:t>
            </w:r>
            <w:proofErr w:type="gramEnd"/>
            <w:r>
              <w:rPr>
                <w:rFonts w:ascii="Arial" w:eastAsia="Arial" w:hAnsi="Arial" w:cs="Arial"/>
                <w:sz w:val="20"/>
              </w:rPr>
              <w:t>/2014).</w:t>
            </w:r>
          </w:p>
          <w:p w14:paraId="072BB928" w14:textId="77777777" w:rsidR="00D63300" w:rsidRDefault="00000000">
            <w:pPr>
              <w:numPr>
                <w:ilvl w:val="0"/>
                <w:numId w:val="2"/>
              </w:numPr>
              <w:spacing w:after="0" w:line="243" w:lineRule="auto"/>
              <w:ind w:right="-207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A fase processual consubstanciada na rejeição das Alegações de Defesa e na cientificação do responsável para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orecolhimento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do prejuízo apurado não comporta a incidência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de  juros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de mora sobre o valor do débito imputado, nos termos do §3º do art. 198 do Regimento Interno (Art. 198, §§1º a 6º, do Regimento Interno).</w:t>
            </w:r>
          </w:p>
          <w:p w14:paraId="336AF59E" w14:textId="77777777" w:rsidR="00D63300" w:rsidRDefault="00000000">
            <w:pPr>
              <w:numPr>
                <w:ilvl w:val="0"/>
                <w:numId w:val="2"/>
              </w:numPr>
              <w:spacing w:after="0"/>
              <w:ind w:right="-207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A mera alegação de falta de conhecimento técnico e/ou financeiro, por parte do gestor, após a ocorrência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eventodanoso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ou ilícito, não afasta a responsabilização decorrente do dano ao erário ou da ilegalidade cometida, tendo em vista o dever de atualização constante dos conhecimentos do servidor (Art. 180, II, Lei Complementar nº 840/2011).</w:t>
            </w:r>
          </w:p>
        </w:tc>
      </w:tr>
    </w:tbl>
    <w:p w14:paraId="05711021" w14:textId="77777777" w:rsidR="00D63300" w:rsidRDefault="00000000">
      <w:pPr>
        <w:spacing w:after="47" w:line="265" w:lineRule="auto"/>
        <w:ind w:left="35" w:hanging="10"/>
      </w:pPr>
      <w:hyperlink r:id="rId32">
        <w:r>
          <w:rPr>
            <w:rFonts w:ascii="Arial" w:eastAsia="Arial" w:hAnsi="Arial" w:cs="Arial"/>
            <w:color w:val="2205FC"/>
            <w:sz w:val="20"/>
            <w:u w:val="single" w:color="2205FC"/>
          </w:rPr>
          <w:t xml:space="preserve">Proc. nº 9333/2021 - Dec. nº 2786/2024 </w:t>
        </w:r>
      </w:hyperlink>
      <w:r>
        <w:rPr>
          <w:rFonts w:ascii="Arial" w:eastAsia="Arial" w:hAnsi="Arial" w:cs="Arial"/>
          <w:b/>
          <w:sz w:val="20"/>
        </w:rPr>
        <w:t>Relator:</w:t>
      </w:r>
    </w:p>
    <w:p w14:paraId="5D84662D" w14:textId="77777777" w:rsidR="00D63300" w:rsidRDefault="00000000">
      <w:pPr>
        <w:spacing w:after="136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Vinícius Cardoso De Pinho Fragoso</w:t>
      </w:r>
    </w:p>
    <w:p w14:paraId="3B50C249" w14:textId="77777777" w:rsidR="00D63300" w:rsidRDefault="00000000">
      <w:pPr>
        <w:spacing w:after="136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Decisão por unanimidade</w:t>
      </w:r>
    </w:p>
    <w:p w14:paraId="243A409D" w14:textId="77777777" w:rsidR="00D63300" w:rsidRDefault="00000000">
      <w:pPr>
        <w:spacing w:after="58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Sessão:</w:t>
      </w:r>
    </w:p>
    <w:p w14:paraId="69CD958F" w14:textId="77777777" w:rsidR="00D63300" w:rsidRDefault="00000000">
      <w:pPr>
        <w:spacing w:after="136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ORDINÁRIA nº 5390, de 07/08/2024.</w:t>
      </w:r>
    </w:p>
    <w:tbl>
      <w:tblPr>
        <w:tblStyle w:val="TableGrid"/>
        <w:tblpPr w:vertAnchor="text" w:horzAnchor="margin" w:tblpY="680"/>
        <w:tblOverlap w:val="never"/>
        <w:tblW w:w="934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348"/>
      </w:tblGrid>
      <w:tr w:rsidR="00D63300" w14:paraId="3A054644" w14:textId="77777777">
        <w:trPr>
          <w:trHeight w:val="2783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0EEF7694" w14:textId="77777777" w:rsidR="00D63300" w:rsidRDefault="00000000">
            <w:pPr>
              <w:spacing w:after="152"/>
              <w:ind w:left="620"/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>Legislação relacionada:</w:t>
            </w:r>
          </w:p>
          <w:p w14:paraId="13A4C743" w14:textId="77777777" w:rsidR="00D63300" w:rsidRDefault="00000000">
            <w:pPr>
              <w:spacing w:after="172"/>
              <w:ind w:left="620"/>
            </w:pPr>
            <w:hyperlink r:id="rId33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Lei nº 13019/2014, Art. 64.</w:t>
              </w:r>
            </w:hyperlink>
          </w:p>
          <w:p w14:paraId="337D115C" w14:textId="77777777" w:rsidR="00D63300" w:rsidRDefault="00000000">
            <w:pPr>
              <w:spacing w:after="172"/>
              <w:ind w:left="620"/>
            </w:pPr>
            <w:hyperlink r:id="rId34">
              <w:r>
                <w:rPr>
                  <w:rFonts w:ascii="Arial" w:eastAsia="Arial" w:hAnsi="Arial" w:cs="Arial"/>
                  <w:color w:val="2205FC"/>
                  <w:sz w:val="20"/>
                  <w:u w:val="single" w:color="2205FC"/>
                </w:rPr>
                <w:t>Lei Complementar nº 840/2011, Art. 180.</w:t>
              </w:r>
            </w:hyperlink>
          </w:p>
          <w:tbl>
            <w:tblPr>
              <w:tblStyle w:val="TableGrid"/>
              <w:tblpPr w:vertAnchor="text" w:tblpY="-42"/>
              <w:tblOverlap w:val="never"/>
              <w:tblW w:w="500" w:type="dxa"/>
              <w:tblInd w:w="0" w:type="dxa"/>
              <w:tblCellMar>
                <w:top w:w="59" w:type="dxa"/>
                <w:left w:w="172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00"/>
            </w:tblGrid>
            <w:tr w:rsidR="00D63300" w14:paraId="56CCED82" w14:textId="77777777">
              <w:trPr>
                <w:trHeight w:val="400"/>
              </w:trPr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1447F"/>
                </w:tcPr>
                <w:p w14:paraId="600FBCDA" w14:textId="77777777" w:rsidR="00D63300" w:rsidRDefault="00000000">
                  <w:pPr>
                    <w:spacing w:after="0"/>
                  </w:pPr>
                  <w:r>
                    <w:rPr>
                      <w:rFonts w:ascii="Arial" w:eastAsia="Arial" w:hAnsi="Arial" w:cs="Arial"/>
                      <w:b/>
                      <w:color w:val="FFFFFF"/>
                      <w:sz w:val="28"/>
                    </w:rPr>
                    <w:t>3</w:t>
                  </w:r>
                </w:p>
              </w:tc>
            </w:tr>
          </w:tbl>
          <w:p w14:paraId="0EC066CD" w14:textId="77777777" w:rsidR="00D63300" w:rsidRDefault="00000000">
            <w:pPr>
              <w:spacing w:after="194" w:line="243" w:lineRule="auto"/>
              <w:ind w:left="620" w:right="-2072"/>
            </w:pPr>
            <w:r>
              <w:rPr>
                <w:rFonts w:ascii="Arial" w:eastAsia="Arial" w:hAnsi="Arial" w:cs="Arial"/>
                <w:b/>
                <w:sz w:val="20"/>
              </w:rPr>
              <w:t>TCE. PESSOAL. LICENÇA PARA TRATAMENTO DE INTERESSES PARTICULARES. RECEBIMENTO DA REMUNERAÇÃO. ERRO OPERACIONAL. RESSARCIMENTO. CABIMENTO.</w:t>
            </w:r>
          </w:p>
          <w:p w14:paraId="06348065" w14:textId="77777777" w:rsidR="00D63300" w:rsidRDefault="00000000">
            <w:pPr>
              <w:numPr>
                <w:ilvl w:val="0"/>
                <w:numId w:val="3"/>
              </w:numPr>
              <w:spacing w:after="0" w:line="243" w:lineRule="auto"/>
              <w:ind w:right="-2071"/>
            </w:pPr>
            <w:r>
              <w:rPr>
                <w:rFonts w:ascii="Arial" w:eastAsia="Arial" w:hAnsi="Arial" w:cs="Arial"/>
                <w:sz w:val="20"/>
              </w:rPr>
              <w:t xml:space="preserve">O recebimento indevido de valores pagos pelo erário durante período de licença sem remuneração de servidor gera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odever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de ressarcimento ao erário.</w:t>
            </w:r>
          </w:p>
          <w:p w14:paraId="272E65D4" w14:textId="77777777" w:rsidR="00D63300" w:rsidRDefault="00000000">
            <w:pPr>
              <w:numPr>
                <w:ilvl w:val="0"/>
                <w:numId w:val="3"/>
              </w:numPr>
              <w:spacing w:after="0"/>
              <w:ind w:right="-2071"/>
            </w:pPr>
            <w:r>
              <w:rPr>
                <w:rFonts w:ascii="Arial" w:eastAsia="Arial" w:hAnsi="Arial" w:cs="Arial"/>
                <w:sz w:val="20"/>
              </w:rPr>
              <w:t xml:space="preserve">Resta afastada a boa-fé do servidor que auferiu verba remuneratória indevida, durante usufruto de licença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semremuneração</w:t>
            </w:r>
            <w:proofErr w:type="spellEnd"/>
            <w:r>
              <w:rPr>
                <w:rFonts w:ascii="Arial" w:eastAsia="Arial" w:hAnsi="Arial" w:cs="Arial"/>
                <w:sz w:val="20"/>
              </w:rPr>
              <w:t>, e não comunicou a administração para a correção da irregularidade.</w:t>
            </w:r>
          </w:p>
        </w:tc>
      </w:tr>
    </w:tbl>
    <w:p w14:paraId="776566C8" w14:textId="77777777" w:rsidR="00D63300" w:rsidRDefault="00000000">
      <w:pPr>
        <w:spacing w:after="47" w:line="265" w:lineRule="auto"/>
        <w:ind w:left="35" w:hanging="10"/>
      </w:pPr>
      <w:hyperlink r:id="rId35">
        <w:r>
          <w:rPr>
            <w:rFonts w:ascii="Arial" w:eastAsia="Arial" w:hAnsi="Arial" w:cs="Arial"/>
            <w:color w:val="2205FC"/>
            <w:sz w:val="20"/>
            <w:u w:val="single" w:color="2205FC"/>
          </w:rPr>
          <w:t xml:space="preserve">Proc. nº 13399/2022 - Dec. nº 2912/2024 </w:t>
        </w:r>
      </w:hyperlink>
      <w:r>
        <w:rPr>
          <w:rFonts w:ascii="Arial" w:eastAsia="Arial" w:hAnsi="Arial" w:cs="Arial"/>
          <w:b/>
          <w:sz w:val="20"/>
        </w:rPr>
        <w:t>Relator:</w:t>
      </w:r>
    </w:p>
    <w:p w14:paraId="0824FCD2" w14:textId="77777777" w:rsidR="00D63300" w:rsidRDefault="00000000">
      <w:pPr>
        <w:spacing w:after="136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Vinícius Cardoso De Pinho Fragoso</w:t>
      </w:r>
    </w:p>
    <w:p w14:paraId="0E03C900" w14:textId="77777777" w:rsidR="00D63300" w:rsidRDefault="00000000">
      <w:pPr>
        <w:spacing w:after="258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Decisão por unanimidade</w:t>
      </w:r>
    </w:p>
    <w:p w14:paraId="4242CE21" w14:textId="77777777" w:rsidR="00D63300" w:rsidRDefault="00000000">
      <w:pPr>
        <w:spacing w:after="100" w:line="417" w:lineRule="auto"/>
        <w:ind w:left="35" w:right="609" w:hanging="10"/>
      </w:pPr>
      <w:r>
        <w:rPr>
          <w:rFonts w:ascii="Arial" w:eastAsia="Arial" w:hAnsi="Arial" w:cs="Arial"/>
          <w:b/>
          <w:sz w:val="20"/>
        </w:rPr>
        <w:t xml:space="preserve">Decisões relacionadas: </w:t>
      </w:r>
      <w:hyperlink r:id="rId36">
        <w:r>
          <w:rPr>
            <w:rFonts w:ascii="Arial" w:eastAsia="Arial" w:hAnsi="Arial" w:cs="Arial"/>
            <w:color w:val="2205FC"/>
            <w:sz w:val="20"/>
            <w:u w:val="single" w:color="2205FC"/>
          </w:rPr>
          <w:t>TCDF: Decisão nº 1790/2024</w:t>
        </w:r>
      </w:hyperlink>
    </w:p>
    <w:p w14:paraId="17EAAC9F" w14:textId="77777777" w:rsidR="00D63300" w:rsidRDefault="00000000">
      <w:pPr>
        <w:spacing w:after="136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Precedentes externos:</w:t>
      </w:r>
    </w:p>
    <w:p w14:paraId="20ED0111" w14:textId="77777777" w:rsidR="00D63300" w:rsidRDefault="00000000">
      <w:pPr>
        <w:spacing w:after="80" w:line="417" w:lineRule="auto"/>
        <w:ind w:left="35" w:hanging="10"/>
      </w:pPr>
      <w:hyperlink r:id="rId37">
        <w:r>
          <w:rPr>
            <w:rFonts w:ascii="Arial" w:eastAsia="Arial" w:hAnsi="Arial" w:cs="Arial"/>
            <w:color w:val="2205FC"/>
            <w:sz w:val="20"/>
            <w:u w:val="single" w:color="2205FC"/>
          </w:rPr>
          <w:t xml:space="preserve">Decisão STJ nº REsp 1769306/AL </w:t>
        </w:r>
      </w:hyperlink>
      <w:hyperlink r:id="rId38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STJ nº REsp 1244182/PB</w:t>
        </w:r>
      </w:hyperlink>
    </w:p>
    <w:p w14:paraId="3F4EB095" w14:textId="77777777" w:rsidR="00D63300" w:rsidRDefault="00000000">
      <w:pPr>
        <w:spacing w:after="158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Legislação relacionada:</w:t>
      </w:r>
    </w:p>
    <w:p w14:paraId="48D921F0" w14:textId="77777777" w:rsidR="00D63300" w:rsidRDefault="00000000">
      <w:pPr>
        <w:spacing w:after="167" w:line="265" w:lineRule="auto"/>
        <w:ind w:left="35" w:hanging="10"/>
      </w:pPr>
      <w:hyperlink r:id="rId39">
        <w:r>
          <w:rPr>
            <w:rFonts w:ascii="Arial" w:eastAsia="Arial" w:hAnsi="Arial" w:cs="Arial"/>
            <w:color w:val="2205FC"/>
            <w:sz w:val="20"/>
            <w:u w:val="single" w:color="2205FC"/>
          </w:rPr>
          <w:t>Lei Complementar nº 1/1994, Art. 29.</w:t>
        </w:r>
      </w:hyperlink>
    </w:p>
    <w:p w14:paraId="4CF7DDE9" w14:textId="77777777" w:rsidR="00D63300" w:rsidRDefault="00000000">
      <w:pPr>
        <w:spacing w:after="58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Sessão:</w:t>
      </w:r>
    </w:p>
    <w:p w14:paraId="5C0918CC" w14:textId="77777777" w:rsidR="00D63300" w:rsidRDefault="00000000">
      <w:pPr>
        <w:spacing w:after="136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ORDINÁRIA nº 5392, de 21/08/2024.</w:t>
      </w:r>
    </w:p>
    <w:p w14:paraId="64092C30" w14:textId="77777777" w:rsidR="00D63300" w:rsidRDefault="00000000">
      <w:pPr>
        <w:spacing w:after="0" w:line="265" w:lineRule="auto"/>
        <w:ind w:left="35" w:hanging="10"/>
      </w:pPr>
      <w:hyperlink r:id="rId40">
        <w:r>
          <w:rPr>
            <w:rFonts w:ascii="Arial" w:eastAsia="Arial" w:hAnsi="Arial" w:cs="Arial"/>
            <w:color w:val="2205FC"/>
            <w:sz w:val="20"/>
            <w:u w:val="single" w:color="2205FC"/>
          </w:rPr>
          <w:t>Proc. nº 13326/2023 - Dec. nº 3138/2024</w:t>
        </w:r>
      </w:hyperlink>
    </w:p>
    <w:p w14:paraId="4EF124B9" w14:textId="77777777" w:rsidR="00D63300" w:rsidRDefault="00D63300">
      <w:pPr>
        <w:sectPr w:rsidR="00D63300">
          <w:type w:val="continuous"/>
          <w:pgSz w:w="11900" w:h="16840"/>
          <w:pgMar w:top="442" w:right="2452" w:bottom="1395" w:left="700" w:header="720" w:footer="720" w:gutter="0"/>
          <w:cols w:num="2" w:space="720" w:equalWidth="0">
            <w:col w:w="3810" w:space="1348"/>
            <w:col w:w="3591"/>
          </w:cols>
        </w:sectPr>
      </w:pPr>
    </w:p>
    <w:p w14:paraId="141AADA5" w14:textId="77777777" w:rsidR="00D63300" w:rsidRDefault="00000000">
      <w:pPr>
        <w:spacing w:after="7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CONTAS. SECRETARIA DE ESTADO DE SAÚDE DO DISTRITO FEDERAL - SES/DF. TOMADA DE CONTAS</w:t>
      </w:r>
    </w:p>
    <w:p w14:paraId="5E843DA6" w14:textId="77777777" w:rsidR="00D63300" w:rsidRDefault="00000000">
      <w:pPr>
        <w:spacing w:after="0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ESPECIAL. INSTITUTO DE GESTÃO ESTRATÉGICA DE SAÚDE DO DISTRITO FEDERAL - IGESDF. SOBREPREÇO. ITENS INDIVIDUAIS. COMPRA. SUBPREÇO. COMPENSAÇÃO. IMPOSSIBILIDADE.</w:t>
      </w:r>
    </w:p>
    <w:p w14:paraId="123DF7AD" w14:textId="77777777" w:rsidR="00D63300" w:rsidRDefault="00000000">
      <w:pPr>
        <w:spacing w:after="409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DESMEMBRAMENTO. RITO SUMARÍSSIMO. POSSIBILIDADE. SOBREPREÇO. DÉBITO. EMPRESA CONTRATADA. RESPONSÁVEL. GESTOR PÚBLICO. SOLIDARIAMENTE. DOLO. LOCUPLETAMENTO.</w:t>
      </w:r>
    </w:p>
    <w:p w14:paraId="6E5370AD" w14:textId="77777777" w:rsidR="00D63300" w:rsidRDefault="00000000">
      <w:pPr>
        <w:spacing w:after="3" w:line="251" w:lineRule="auto"/>
        <w:ind w:left="15" w:right="8" w:hanging="10"/>
        <w:jc w:val="both"/>
      </w:pPr>
      <w:r>
        <w:rPr>
          <w:rFonts w:ascii="Arial" w:eastAsia="Arial" w:hAnsi="Arial" w:cs="Arial"/>
          <w:sz w:val="20"/>
        </w:rPr>
        <w:t>1) Em contratações de itens independentemente considerados, não é possível a compensação, no cálculo do débito, entre itens com sobrepreço e com subpreço, com base na definição do art. 6º, inciso LVI, da Lei Federal nº 14.133/2021. 2) Desmembrada Tomada de Contas Especial, os ritos a serem adotados deverão considerar os elementos fáticos de cada um dos novos feitos, salvo se as circunstâncias demandarem identidade de rito.</w:t>
      </w:r>
    </w:p>
    <w:tbl>
      <w:tblPr>
        <w:tblStyle w:val="TableGrid"/>
        <w:tblpPr w:vertAnchor="page" w:horzAnchor="page" w:tblpX="100" w:tblpY="4580"/>
        <w:tblOverlap w:val="never"/>
        <w:tblW w:w="500" w:type="dxa"/>
        <w:tblInd w:w="0" w:type="dxa"/>
        <w:tblCellMar>
          <w:top w:w="59" w:type="dxa"/>
          <w:left w:w="17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00"/>
      </w:tblGrid>
      <w:tr w:rsidR="00D63300" w14:paraId="06046AF6" w14:textId="77777777">
        <w:trPr>
          <w:trHeight w:val="4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01447F"/>
          </w:tcPr>
          <w:p w14:paraId="12168BF8" w14:textId="77777777" w:rsidR="00D63300" w:rsidRDefault="00000000">
            <w:pPr>
              <w:spacing w:after="0"/>
            </w:pPr>
            <w:r>
              <w:rPr>
                <w:rFonts w:ascii="Arial" w:eastAsia="Arial" w:hAnsi="Arial" w:cs="Arial"/>
                <w:b/>
                <w:color w:val="FFFFFF"/>
                <w:sz w:val="28"/>
              </w:rPr>
              <w:t>4</w:t>
            </w:r>
          </w:p>
        </w:tc>
      </w:tr>
    </w:tbl>
    <w:p w14:paraId="728805E1" w14:textId="77777777" w:rsidR="00D63300" w:rsidRDefault="00000000">
      <w:pPr>
        <w:spacing w:after="383" w:line="251" w:lineRule="auto"/>
        <w:ind w:left="15" w:right="8" w:hanging="10"/>
        <w:jc w:val="both"/>
      </w:pPr>
      <w:r>
        <w:rPr>
          <w:rFonts w:ascii="Arial" w:eastAsia="Arial" w:hAnsi="Arial" w:cs="Arial"/>
          <w:sz w:val="20"/>
        </w:rPr>
        <w:t>3) Em caso de débito decorrente de superfaturamento por sobrepreço, o responsável pelo débito é a sociedade empresária contratada, de forma que o gestor público será responsabilizado solidariamente pelo débito se houver dolo ou locupletamento. Precedentes (Decisão nº 2290/2024).</w:t>
      </w:r>
    </w:p>
    <w:p w14:paraId="67567083" w14:textId="77777777" w:rsidR="00D63300" w:rsidRDefault="00000000">
      <w:pPr>
        <w:tabs>
          <w:tab w:val="center" w:pos="5484"/>
        </w:tabs>
        <w:spacing w:after="85" w:line="251" w:lineRule="auto"/>
      </w:pPr>
      <w:r>
        <w:rPr>
          <w:rFonts w:ascii="Arial" w:eastAsia="Arial" w:hAnsi="Arial" w:cs="Arial"/>
          <w:b/>
          <w:sz w:val="20"/>
        </w:rPr>
        <w:t>Relator:</w:t>
      </w:r>
      <w:r>
        <w:rPr>
          <w:rFonts w:ascii="Arial" w:eastAsia="Arial" w:hAnsi="Arial" w:cs="Arial"/>
          <w:b/>
          <w:sz w:val="20"/>
        </w:rPr>
        <w:tab/>
        <w:t>Sessão:</w:t>
      </w:r>
    </w:p>
    <w:p w14:paraId="7A274174" w14:textId="77777777" w:rsidR="00D63300" w:rsidRDefault="00000000">
      <w:pPr>
        <w:spacing w:after="100" w:line="425" w:lineRule="auto"/>
        <w:ind w:left="15" w:right="1635" w:hanging="10"/>
        <w:jc w:val="both"/>
      </w:pPr>
      <w:r>
        <w:rPr>
          <w:rFonts w:ascii="Arial" w:eastAsia="Arial" w:hAnsi="Arial" w:cs="Arial"/>
          <w:b/>
          <w:sz w:val="20"/>
        </w:rPr>
        <w:t>Vinícius Cardoso De Pinho Fragoso</w:t>
      </w:r>
      <w:r>
        <w:rPr>
          <w:rFonts w:ascii="Arial" w:eastAsia="Arial" w:hAnsi="Arial" w:cs="Arial"/>
          <w:b/>
          <w:sz w:val="20"/>
        </w:rPr>
        <w:tab/>
        <w:t>ORDINÁRIA nº 5396, de 18/09/2024. Decisão por unanimidade</w:t>
      </w:r>
      <w:r>
        <w:rPr>
          <w:rFonts w:ascii="Arial" w:eastAsia="Arial" w:hAnsi="Arial" w:cs="Arial"/>
          <w:b/>
          <w:sz w:val="20"/>
        </w:rPr>
        <w:tab/>
      </w:r>
      <w:hyperlink r:id="rId41">
        <w:r>
          <w:rPr>
            <w:rFonts w:ascii="Arial" w:eastAsia="Arial" w:hAnsi="Arial" w:cs="Arial"/>
            <w:color w:val="2205FC"/>
            <w:sz w:val="20"/>
            <w:u w:val="single" w:color="2205FC"/>
          </w:rPr>
          <w:t>Proc. nº 10103/2023 - Dec. nº 3540/2024</w:t>
        </w:r>
      </w:hyperlink>
    </w:p>
    <w:p w14:paraId="4F07069C" w14:textId="77777777" w:rsidR="00D63300" w:rsidRDefault="00000000">
      <w:pPr>
        <w:spacing w:after="100" w:line="417" w:lineRule="auto"/>
        <w:ind w:left="35" w:right="8031" w:hanging="10"/>
      </w:pPr>
      <w:r>
        <w:rPr>
          <w:rFonts w:ascii="Arial" w:eastAsia="Arial" w:hAnsi="Arial" w:cs="Arial"/>
          <w:b/>
          <w:sz w:val="20"/>
        </w:rPr>
        <w:t xml:space="preserve">Decisões relacionadas: </w:t>
      </w:r>
      <w:hyperlink r:id="rId42">
        <w:r>
          <w:rPr>
            <w:rFonts w:ascii="Arial" w:eastAsia="Arial" w:hAnsi="Arial" w:cs="Arial"/>
            <w:color w:val="2205FC"/>
            <w:sz w:val="20"/>
            <w:u w:val="single" w:color="2205FC"/>
          </w:rPr>
          <w:t>TCDF: Decisão nº 2290/2024</w:t>
        </w:r>
      </w:hyperlink>
    </w:p>
    <w:p w14:paraId="5B957818" w14:textId="77777777" w:rsidR="00D63300" w:rsidRDefault="00000000">
      <w:pPr>
        <w:spacing w:after="158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Precedentes externos:</w:t>
      </w:r>
    </w:p>
    <w:p w14:paraId="102D205D" w14:textId="77777777" w:rsidR="00D63300" w:rsidRDefault="00000000">
      <w:pPr>
        <w:spacing w:after="167" w:line="265" w:lineRule="auto"/>
        <w:ind w:left="35" w:hanging="10"/>
      </w:pPr>
      <w:hyperlink r:id="rId43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TCU nº Súmula 247</w:t>
        </w:r>
      </w:hyperlink>
    </w:p>
    <w:p w14:paraId="2E3F5BFD" w14:textId="77777777" w:rsidR="00D63300" w:rsidRDefault="00000000">
      <w:pPr>
        <w:spacing w:after="227" w:line="265" w:lineRule="auto"/>
        <w:ind w:left="35" w:hanging="10"/>
      </w:pPr>
      <w:hyperlink r:id="rId44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TCU nº Acórdão 1435/2024 - Plenário</w:t>
        </w:r>
      </w:hyperlink>
    </w:p>
    <w:p w14:paraId="4FB8C855" w14:textId="77777777" w:rsidR="00D63300" w:rsidRDefault="00000000">
      <w:pPr>
        <w:spacing w:after="158" w:line="251" w:lineRule="auto"/>
        <w:ind w:left="15" w:hanging="10"/>
        <w:jc w:val="both"/>
      </w:pPr>
      <w:r>
        <w:rPr>
          <w:rFonts w:ascii="Arial" w:eastAsia="Arial" w:hAnsi="Arial" w:cs="Arial"/>
          <w:b/>
          <w:sz w:val="20"/>
        </w:rPr>
        <w:t>Legislação relacionada:</w:t>
      </w:r>
    </w:p>
    <w:p w14:paraId="7EEA5365" w14:textId="77777777" w:rsidR="00D63300" w:rsidRDefault="00000000">
      <w:pPr>
        <w:spacing w:after="167" w:line="265" w:lineRule="auto"/>
        <w:ind w:left="35" w:hanging="10"/>
      </w:pPr>
      <w:hyperlink r:id="rId45">
        <w:r>
          <w:rPr>
            <w:rFonts w:ascii="Arial" w:eastAsia="Arial" w:hAnsi="Arial" w:cs="Arial"/>
            <w:color w:val="2205FC"/>
            <w:sz w:val="20"/>
            <w:u w:val="single" w:color="2205FC"/>
          </w:rPr>
          <w:t>Lei nº 14133/2021, Art. 6º, LVI.</w:t>
        </w:r>
      </w:hyperlink>
    </w:p>
    <w:p w14:paraId="7E8E46D1" w14:textId="77777777" w:rsidR="00D63300" w:rsidRDefault="00000000">
      <w:pPr>
        <w:spacing w:after="40" w:line="265" w:lineRule="auto"/>
        <w:ind w:left="35" w:hanging="10"/>
      </w:pPr>
      <w:hyperlink r:id="rId46">
        <w:r>
          <w:rPr>
            <w:rFonts w:ascii="Arial" w:eastAsia="Arial" w:hAnsi="Arial" w:cs="Arial"/>
            <w:color w:val="2205FC"/>
            <w:sz w:val="20"/>
            <w:u w:val="single" w:color="2205FC"/>
          </w:rPr>
          <w:t>Lei Complementar nº 1/1994, Art. 17, III.</w:t>
        </w:r>
      </w:hyperlink>
    </w:p>
    <w:p w14:paraId="333FCD51" w14:textId="77777777" w:rsidR="00D63300" w:rsidRDefault="00000000">
      <w:pPr>
        <w:spacing w:after="470"/>
        <w:ind w:left="300"/>
      </w:pPr>
      <w:r>
        <w:rPr>
          <w:noProof/>
        </w:rPr>
        <mc:AlternateContent>
          <mc:Choice Requires="wpg">
            <w:drawing>
              <wp:inline distT="0" distB="0" distL="0" distR="0" wp14:anchorId="11D8FD29" wp14:editId="4C74D394">
                <wp:extent cx="6350000" cy="12700"/>
                <wp:effectExtent l="0" t="0" r="0" b="0"/>
                <wp:docPr id="3277" name="Group 3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00" cy="12700"/>
                          <a:chOff x="0" y="0"/>
                          <a:chExt cx="6350000" cy="12700"/>
                        </a:xfrm>
                      </wpg:grpSpPr>
                      <wps:wsp>
                        <wps:cNvPr id="259" name="Shape 259"/>
                        <wps:cNvSpPr/>
                        <wps:spPr>
                          <a:xfrm>
                            <a:off x="0" y="0"/>
                            <a:ext cx="635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000">
                                <a:moveTo>
                                  <a:pt x="0" y="0"/>
                                </a:moveTo>
                                <a:lnTo>
                                  <a:pt x="63500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77" style="width:500pt;height:1pt;mso-position-horizontal-relative:char;mso-position-vertical-relative:line" coordsize="63500,127">
                <v:shape id="Shape 259" style="position:absolute;width:63500;height:0;left:0;top:0;" coordsize="6350000,0" path="m0,0l635000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1B46CFA" w14:textId="77777777" w:rsidR="00D63300" w:rsidRDefault="00000000">
      <w:pPr>
        <w:pStyle w:val="Ttulo1"/>
        <w:spacing w:after="305"/>
        <w:ind w:left="637"/>
      </w:pPr>
      <w:r>
        <w:t>OUTRAS DECISÕES SOBRE CONTAS</w:t>
      </w:r>
    </w:p>
    <w:p w14:paraId="71C57069" w14:textId="77777777" w:rsidR="00D63300" w:rsidRDefault="00000000">
      <w:pPr>
        <w:spacing w:after="167" w:line="265" w:lineRule="auto"/>
        <w:ind w:left="35" w:hanging="10"/>
      </w:pPr>
      <w:hyperlink r:id="rId47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2849/2024</w:t>
        </w:r>
      </w:hyperlink>
    </w:p>
    <w:p w14:paraId="3E7651D3" w14:textId="77777777" w:rsidR="00D63300" w:rsidRDefault="00000000">
      <w:pPr>
        <w:spacing w:after="167" w:line="265" w:lineRule="auto"/>
        <w:ind w:left="35" w:hanging="10"/>
      </w:pPr>
      <w:hyperlink r:id="rId48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2834/2024</w:t>
        </w:r>
      </w:hyperlink>
    </w:p>
    <w:p w14:paraId="5C2DD1DC" w14:textId="77777777" w:rsidR="00D63300" w:rsidRDefault="00000000">
      <w:pPr>
        <w:spacing w:after="167" w:line="265" w:lineRule="auto"/>
        <w:ind w:left="35" w:hanging="10"/>
      </w:pPr>
      <w:hyperlink r:id="rId49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2951/2024</w:t>
        </w:r>
      </w:hyperlink>
    </w:p>
    <w:p w14:paraId="64D8C654" w14:textId="77777777" w:rsidR="00D63300" w:rsidRDefault="00000000">
      <w:pPr>
        <w:spacing w:after="167" w:line="265" w:lineRule="auto"/>
        <w:ind w:left="35" w:hanging="10"/>
      </w:pPr>
      <w:hyperlink r:id="rId50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2915/2024</w:t>
        </w:r>
      </w:hyperlink>
    </w:p>
    <w:p w14:paraId="6B3D6373" w14:textId="77777777" w:rsidR="00D63300" w:rsidRDefault="00000000">
      <w:pPr>
        <w:spacing w:after="167" w:line="265" w:lineRule="auto"/>
        <w:ind w:left="35" w:hanging="10"/>
      </w:pPr>
      <w:hyperlink r:id="rId51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3056/2024</w:t>
        </w:r>
      </w:hyperlink>
    </w:p>
    <w:p w14:paraId="2D1D11F0" w14:textId="77777777" w:rsidR="00D63300" w:rsidRDefault="00000000">
      <w:pPr>
        <w:spacing w:after="167" w:line="265" w:lineRule="auto"/>
        <w:ind w:left="35" w:hanging="10"/>
      </w:pPr>
      <w:hyperlink r:id="rId52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2976/2024</w:t>
        </w:r>
      </w:hyperlink>
    </w:p>
    <w:p w14:paraId="4F45F20A" w14:textId="77777777" w:rsidR="00D63300" w:rsidRDefault="00000000">
      <w:pPr>
        <w:spacing w:after="167" w:line="265" w:lineRule="auto"/>
        <w:ind w:left="35" w:hanging="10"/>
      </w:pPr>
      <w:hyperlink r:id="rId53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3057/2024</w:t>
        </w:r>
      </w:hyperlink>
    </w:p>
    <w:p w14:paraId="496338E8" w14:textId="77777777" w:rsidR="00D63300" w:rsidRDefault="00000000">
      <w:pPr>
        <w:spacing w:after="167" w:line="265" w:lineRule="auto"/>
        <w:ind w:left="35" w:hanging="10"/>
      </w:pPr>
      <w:hyperlink r:id="rId54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3053/2024</w:t>
        </w:r>
      </w:hyperlink>
    </w:p>
    <w:p w14:paraId="7E8AFCDC" w14:textId="77777777" w:rsidR="00D63300" w:rsidRDefault="00000000">
      <w:pPr>
        <w:spacing w:after="167" w:line="265" w:lineRule="auto"/>
        <w:ind w:left="35" w:hanging="10"/>
      </w:pPr>
      <w:hyperlink r:id="rId55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3043/2024</w:t>
        </w:r>
      </w:hyperlink>
    </w:p>
    <w:p w14:paraId="3513894C" w14:textId="77777777" w:rsidR="00D63300" w:rsidRDefault="00000000">
      <w:pPr>
        <w:spacing w:after="167" w:line="265" w:lineRule="auto"/>
        <w:ind w:left="35" w:hanging="10"/>
      </w:pPr>
      <w:hyperlink r:id="rId56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3286/2024</w:t>
        </w:r>
      </w:hyperlink>
    </w:p>
    <w:p w14:paraId="4986E860" w14:textId="77777777" w:rsidR="00D63300" w:rsidRDefault="00000000">
      <w:pPr>
        <w:spacing w:after="167" w:line="265" w:lineRule="auto"/>
        <w:ind w:left="35" w:hanging="10"/>
      </w:pPr>
      <w:hyperlink r:id="rId57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3281/2024</w:t>
        </w:r>
      </w:hyperlink>
    </w:p>
    <w:p w14:paraId="578D7474" w14:textId="77777777" w:rsidR="00D63300" w:rsidRDefault="00000000">
      <w:pPr>
        <w:spacing w:after="167" w:line="265" w:lineRule="auto"/>
        <w:ind w:left="35" w:hanging="10"/>
      </w:pPr>
      <w:hyperlink r:id="rId58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3406/2024</w:t>
        </w:r>
      </w:hyperlink>
    </w:p>
    <w:p w14:paraId="68B96E37" w14:textId="77777777" w:rsidR="00D63300" w:rsidRDefault="00000000">
      <w:pPr>
        <w:spacing w:after="167" w:line="265" w:lineRule="auto"/>
        <w:ind w:left="35" w:hanging="10"/>
      </w:pPr>
      <w:hyperlink r:id="rId59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3403/2024</w:t>
        </w:r>
      </w:hyperlink>
    </w:p>
    <w:p w14:paraId="2CC61949" w14:textId="77777777" w:rsidR="00D63300" w:rsidRDefault="00000000">
      <w:pPr>
        <w:spacing w:after="167" w:line="265" w:lineRule="auto"/>
        <w:ind w:left="35" w:hanging="10"/>
      </w:pPr>
      <w:hyperlink r:id="rId60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3404/2024</w:t>
        </w:r>
      </w:hyperlink>
    </w:p>
    <w:p w14:paraId="46C4CF2D" w14:textId="77777777" w:rsidR="00D63300" w:rsidRDefault="00000000">
      <w:pPr>
        <w:spacing w:after="167" w:line="265" w:lineRule="auto"/>
        <w:ind w:left="35" w:hanging="10"/>
      </w:pPr>
      <w:hyperlink r:id="rId61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3449/2024</w:t>
        </w:r>
      </w:hyperlink>
    </w:p>
    <w:p w14:paraId="074CBA08" w14:textId="77777777" w:rsidR="00D63300" w:rsidRDefault="00000000">
      <w:pPr>
        <w:spacing w:after="167" w:line="265" w:lineRule="auto"/>
        <w:ind w:left="35" w:hanging="10"/>
      </w:pPr>
      <w:hyperlink r:id="rId62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3424/2024</w:t>
        </w:r>
      </w:hyperlink>
    </w:p>
    <w:p w14:paraId="25897FBA" w14:textId="77777777" w:rsidR="00D63300" w:rsidRDefault="00000000">
      <w:pPr>
        <w:spacing w:after="167" w:line="265" w:lineRule="auto"/>
        <w:ind w:left="35" w:hanging="10"/>
      </w:pPr>
      <w:hyperlink r:id="rId63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3594/2024</w:t>
        </w:r>
      </w:hyperlink>
    </w:p>
    <w:p w14:paraId="26F5CC9A" w14:textId="77777777" w:rsidR="00D63300" w:rsidRDefault="00000000">
      <w:pPr>
        <w:spacing w:after="9647" w:line="265" w:lineRule="auto"/>
        <w:ind w:left="35" w:hanging="10"/>
      </w:pPr>
      <w:hyperlink r:id="rId64">
        <w:r>
          <w:rPr>
            <w:rFonts w:ascii="Arial" w:eastAsia="Arial" w:hAnsi="Arial" w:cs="Arial"/>
            <w:color w:val="2205FC"/>
            <w:sz w:val="20"/>
            <w:u w:val="single" w:color="2205FC"/>
          </w:rPr>
          <w:t>Decisão nº 3539/2024</w:t>
        </w:r>
      </w:hyperlink>
    </w:p>
    <w:p w14:paraId="3EB6F51B" w14:textId="77777777" w:rsidR="00D63300" w:rsidRDefault="00000000">
      <w:pPr>
        <w:spacing w:after="0"/>
        <w:ind w:left="10" w:right="1992" w:hanging="10"/>
        <w:jc w:val="right"/>
      </w:pPr>
      <w:r>
        <w:rPr>
          <w:rFonts w:ascii="Arial" w:eastAsia="Arial" w:hAnsi="Arial" w:cs="Arial"/>
          <w:color w:val="FFFFFF"/>
          <w:sz w:val="20"/>
        </w:rPr>
        <w:lastRenderedPageBreak/>
        <w:t>Coordenadoria de Biblioteca, Gestão da Informação e do Conhecimento – COBGI</w:t>
      </w:r>
    </w:p>
    <w:p w14:paraId="0BE5D964" w14:textId="77777777" w:rsidR="00D63300" w:rsidRDefault="00000000">
      <w:pPr>
        <w:spacing w:after="0"/>
        <w:ind w:left="10" w:right="2352" w:hanging="10"/>
        <w:jc w:val="right"/>
      </w:pPr>
      <w:r>
        <w:rPr>
          <w:rFonts w:ascii="Arial" w:eastAsia="Arial" w:hAnsi="Arial" w:cs="Arial"/>
          <w:color w:val="FFFFFF"/>
          <w:sz w:val="20"/>
        </w:rPr>
        <w:t>Supervisão de Sistemas de Informação, Legislação e Jurisprudência - SSI</w:t>
      </w:r>
    </w:p>
    <w:p w14:paraId="0BD176DF" w14:textId="77777777" w:rsidR="00D63300" w:rsidRDefault="00000000">
      <w:pPr>
        <w:spacing w:after="0"/>
        <w:ind w:left="1980"/>
      </w:pPr>
      <w:r>
        <w:rPr>
          <w:rFonts w:ascii="Arial" w:eastAsia="Arial" w:hAnsi="Arial" w:cs="Arial"/>
          <w:b/>
          <w:color w:val="FFFFFF"/>
          <w:sz w:val="20"/>
        </w:rPr>
        <w:t xml:space="preserve">Telefone: </w:t>
      </w:r>
      <w:r>
        <w:rPr>
          <w:rFonts w:ascii="Arial" w:eastAsia="Arial" w:hAnsi="Arial" w:cs="Arial"/>
          <w:color w:val="FFFFFF"/>
          <w:sz w:val="20"/>
        </w:rPr>
        <w:t xml:space="preserve">(61) 3314-2226/2593/2259 </w:t>
      </w:r>
      <w:proofErr w:type="spellStart"/>
      <w:r>
        <w:rPr>
          <w:rFonts w:ascii="Arial" w:eastAsia="Arial" w:hAnsi="Arial" w:cs="Arial"/>
          <w:b/>
          <w:color w:val="FFFFFF"/>
          <w:sz w:val="20"/>
        </w:rPr>
        <w:t>email</w:t>
      </w:r>
      <w:proofErr w:type="spellEnd"/>
      <w:r>
        <w:rPr>
          <w:rFonts w:ascii="Arial" w:eastAsia="Arial" w:hAnsi="Arial" w:cs="Arial"/>
          <w:b/>
          <w:color w:val="FFFFFF"/>
          <w:sz w:val="20"/>
        </w:rPr>
        <w:t xml:space="preserve">: </w:t>
      </w:r>
      <w:r>
        <w:rPr>
          <w:rFonts w:ascii="Arial" w:eastAsia="Arial" w:hAnsi="Arial" w:cs="Arial"/>
          <w:color w:val="FFFFFF"/>
          <w:sz w:val="20"/>
        </w:rPr>
        <w:t>jurisprudencia@tc.df.gov.br</w:t>
      </w:r>
    </w:p>
    <w:sectPr w:rsidR="00D63300">
      <w:type w:val="continuous"/>
      <w:pgSz w:w="11900" w:h="16840"/>
      <w:pgMar w:top="442" w:right="357" w:bottom="387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D2777" w14:textId="77777777" w:rsidR="00022D45" w:rsidRDefault="00022D45">
      <w:pPr>
        <w:spacing w:after="0" w:line="240" w:lineRule="auto"/>
      </w:pPr>
      <w:r>
        <w:separator/>
      </w:r>
    </w:p>
  </w:endnote>
  <w:endnote w:type="continuationSeparator" w:id="0">
    <w:p w14:paraId="48D06BAC" w14:textId="77777777" w:rsidR="00022D45" w:rsidRDefault="00022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5640"/>
      <w:tblOverlap w:val="never"/>
      <w:tblW w:w="11900" w:type="dxa"/>
      <w:tblInd w:w="0" w:type="dxa"/>
      <w:tblCellMar>
        <w:top w:w="0" w:type="dxa"/>
        <w:left w:w="115" w:type="dxa"/>
        <w:bottom w:w="157" w:type="dxa"/>
        <w:right w:w="838" w:type="dxa"/>
      </w:tblCellMar>
      <w:tblLook w:val="04A0" w:firstRow="1" w:lastRow="0" w:firstColumn="1" w:lastColumn="0" w:noHBand="0" w:noVBand="1"/>
    </w:tblPr>
    <w:tblGrid>
      <w:gridCol w:w="11900"/>
    </w:tblGrid>
    <w:tr w:rsidR="00D63300" w14:paraId="2A93210D" w14:textId="77777777">
      <w:trPr>
        <w:trHeight w:val="1200"/>
      </w:trPr>
      <w:tc>
        <w:tcPr>
          <w:tcW w:w="11900" w:type="dxa"/>
          <w:tcBorders>
            <w:top w:val="nil"/>
            <w:left w:val="nil"/>
            <w:bottom w:val="nil"/>
            <w:right w:val="nil"/>
          </w:tcBorders>
          <w:shd w:val="clear" w:color="auto" w:fill="01447F"/>
          <w:vAlign w:val="bottom"/>
        </w:tcPr>
        <w:p w14:paraId="74B04D51" w14:textId="77777777" w:rsidR="00D63300" w:rsidRDefault="00000000">
          <w:pPr>
            <w:spacing w:after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Arial" w:eastAsia="Arial" w:hAnsi="Arial" w:cs="Arial"/>
              <w:b/>
              <w:color w:val="FFFFFF"/>
              <w:sz w:val="80"/>
            </w:rPr>
            <w:t>1</w:t>
          </w:r>
          <w:r>
            <w:rPr>
              <w:rFonts w:ascii="Arial" w:eastAsia="Arial" w:hAnsi="Arial" w:cs="Arial"/>
              <w:b/>
              <w:color w:val="FFFFFF"/>
              <w:sz w:val="80"/>
            </w:rPr>
            <w:fldChar w:fldCharType="end"/>
          </w:r>
        </w:p>
      </w:tc>
    </w:tr>
  </w:tbl>
  <w:p w14:paraId="6967B6AD" w14:textId="77777777" w:rsidR="00D63300" w:rsidRDefault="00D63300">
    <w:pPr>
      <w:spacing w:after="0"/>
      <w:ind w:left="-720" w:right="1154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5640"/>
      <w:tblOverlap w:val="never"/>
      <w:tblW w:w="11900" w:type="dxa"/>
      <w:tblInd w:w="0" w:type="dxa"/>
      <w:tblCellMar>
        <w:top w:w="0" w:type="dxa"/>
        <w:left w:w="115" w:type="dxa"/>
        <w:bottom w:w="157" w:type="dxa"/>
        <w:right w:w="838" w:type="dxa"/>
      </w:tblCellMar>
      <w:tblLook w:val="04A0" w:firstRow="1" w:lastRow="0" w:firstColumn="1" w:lastColumn="0" w:noHBand="0" w:noVBand="1"/>
    </w:tblPr>
    <w:tblGrid>
      <w:gridCol w:w="11900"/>
    </w:tblGrid>
    <w:tr w:rsidR="00D63300" w14:paraId="1D3DB851" w14:textId="77777777">
      <w:trPr>
        <w:trHeight w:val="1200"/>
      </w:trPr>
      <w:tc>
        <w:tcPr>
          <w:tcW w:w="11900" w:type="dxa"/>
          <w:tcBorders>
            <w:top w:val="nil"/>
            <w:left w:val="nil"/>
            <w:bottom w:val="nil"/>
            <w:right w:val="nil"/>
          </w:tcBorders>
          <w:shd w:val="clear" w:color="auto" w:fill="01447F"/>
          <w:vAlign w:val="bottom"/>
        </w:tcPr>
        <w:p w14:paraId="5D40E27D" w14:textId="77777777" w:rsidR="00D63300" w:rsidRDefault="00000000">
          <w:pPr>
            <w:spacing w:after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Arial" w:eastAsia="Arial" w:hAnsi="Arial" w:cs="Arial"/>
              <w:b/>
              <w:color w:val="FFFFFF"/>
              <w:sz w:val="80"/>
            </w:rPr>
            <w:t>1</w:t>
          </w:r>
          <w:r>
            <w:rPr>
              <w:rFonts w:ascii="Arial" w:eastAsia="Arial" w:hAnsi="Arial" w:cs="Arial"/>
              <w:b/>
              <w:color w:val="FFFFFF"/>
              <w:sz w:val="80"/>
            </w:rPr>
            <w:fldChar w:fldCharType="end"/>
          </w:r>
        </w:p>
      </w:tc>
    </w:tr>
  </w:tbl>
  <w:p w14:paraId="63D4CC46" w14:textId="77777777" w:rsidR="00D63300" w:rsidRDefault="00D63300">
    <w:pPr>
      <w:spacing w:after="0"/>
      <w:ind w:left="-720" w:right="1154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Y="15640"/>
      <w:tblOverlap w:val="never"/>
      <w:tblW w:w="11900" w:type="dxa"/>
      <w:tblInd w:w="0" w:type="dxa"/>
      <w:tblCellMar>
        <w:top w:w="0" w:type="dxa"/>
        <w:left w:w="115" w:type="dxa"/>
        <w:bottom w:w="157" w:type="dxa"/>
        <w:right w:w="838" w:type="dxa"/>
      </w:tblCellMar>
      <w:tblLook w:val="04A0" w:firstRow="1" w:lastRow="0" w:firstColumn="1" w:lastColumn="0" w:noHBand="0" w:noVBand="1"/>
    </w:tblPr>
    <w:tblGrid>
      <w:gridCol w:w="11900"/>
    </w:tblGrid>
    <w:tr w:rsidR="00D63300" w14:paraId="4C926213" w14:textId="77777777">
      <w:trPr>
        <w:trHeight w:val="1200"/>
      </w:trPr>
      <w:tc>
        <w:tcPr>
          <w:tcW w:w="11900" w:type="dxa"/>
          <w:tcBorders>
            <w:top w:val="nil"/>
            <w:left w:val="nil"/>
            <w:bottom w:val="nil"/>
            <w:right w:val="nil"/>
          </w:tcBorders>
          <w:shd w:val="clear" w:color="auto" w:fill="01447F"/>
          <w:vAlign w:val="bottom"/>
        </w:tcPr>
        <w:p w14:paraId="5202B2CE" w14:textId="77777777" w:rsidR="00D63300" w:rsidRDefault="00000000">
          <w:pPr>
            <w:spacing w:after="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Arial" w:eastAsia="Arial" w:hAnsi="Arial" w:cs="Arial"/>
              <w:b/>
              <w:color w:val="FFFFFF"/>
              <w:sz w:val="80"/>
            </w:rPr>
            <w:t>1</w:t>
          </w:r>
          <w:r>
            <w:rPr>
              <w:rFonts w:ascii="Arial" w:eastAsia="Arial" w:hAnsi="Arial" w:cs="Arial"/>
              <w:b/>
              <w:color w:val="FFFFFF"/>
              <w:sz w:val="80"/>
            </w:rPr>
            <w:fldChar w:fldCharType="end"/>
          </w:r>
        </w:p>
      </w:tc>
    </w:tr>
  </w:tbl>
  <w:p w14:paraId="26C9598E" w14:textId="77777777" w:rsidR="00D63300" w:rsidRDefault="00D63300">
    <w:pPr>
      <w:spacing w:after="0"/>
      <w:ind w:left="-720" w:right="115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A34A4" w14:textId="77777777" w:rsidR="00022D45" w:rsidRDefault="00022D45">
      <w:pPr>
        <w:spacing w:after="0" w:line="240" w:lineRule="auto"/>
      </w:pPr>
      <w:r>
        <w:separator/>
      </w:r>
    </w:p>
  </w:footnote>
  <w:footnote w:type="continuationSeparator" w:id="0">
    <w:p w14:paraId="754F5F64" w14:textId="77777777" w:rsidR="00022D45" w:rsidRDefault="00022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85E5B" w14:textId="77777777" w:rsidR="00D63300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8A3BDFC" wp14:editId="7CBC43E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06400" cy="9931400"/>
              <wp:effectExtent l="0" t="0" r="0" b="0"/>
              <wp:wrapNone/>
              <wp:docPr id="4002" name="Group 40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6400" cy="9931400"/>
                        <a:chOff x="0" y="0"/>
                        <a:chExt cx="406400" cy="9931400"/>
                      </a:xfrm>
                    </wpg:grpSpPr>
                    <wps:wsp>
                      <wps:cNvPr id="4244" name="Shape 4244"/>
                      <wps:cNvSpPr/>
                      <wps:spPr>
                        <a:xfrm>
                          <a:off x="0" y="0"/>
                          <a:ext cx="406400" cy="9931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00" h="9931400">
                              <a:moveTo>
                                <a:pt x="0" y="0"/>
                              </a:moveTo>
                              <a:lnTo>
                                <a:pt x="406400" y="0"/>
                              </a:lnTo>
                              <a:lnTo>
                                <a:pt x="406400" y="9931400"/>
                              </a:lnTo>
                              <a:lnTo>
                                <a:pt x="0" y="9931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44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02" style="width:32pt;height:782pt;position:absolute;z-index:-2147483648;mso-position-horizontal-relative:page;mso-position-horizontal:absolute;margin-left:0pt;mso-position-vertical-relative:page;margin-top:0pt;" coordsize="4064,99314">
              <v:shape id="Shape 4245" style="position:absolute;width:4064;height:99314;left:0;top:0;" coordsize="406400,9931400" path="m0,0l406400,0l406400,9931400l0,9931400l0,0">
                <v:stroke weight="0pt" endcap="square" joinstyle="miter" miterlimit="10" on="false" color="#000000" opacity="0"/>
                <v:fill on="true" color="#01447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F6CDA" w14:textId="77777777" w:rsidR="00D63300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D8639E7" wp14:editId="0168414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06400" cy="9931400"/>
              <wp:effectExtent l="0" t="0" r="0" b="0"/>
              <wp:wrapNone/>
              <wp:docPr id="3987" name="Group 39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6400" cy="9931400"/>
                        <a:chOff x="0" y="0"/>
                        <a:chExt cx="406400" cy="9931400"/>
                      </a:xfrm>
                    </wpg:grpSpPr>
                    <wps:wsp>
                      <wps:cNvPr id="4242" name="Shape 4242"/>
                      <wps:cNvSpPr/>
                      <wps:spPr>
                        <a:xfrm>
                          <a:off x="0" y="0"/>
                          <a:ext cx="406400" cy="9931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00" h="9931400">
                              <a:moveTo>
                                <a:pt x="0" y="0"/>
                              </a:moveTo>
                              <a:lnTo>
                                <a:pt x="406400" y="0"/>
                              </a:lnTo>
                              <a:lnTo>
                                <a:pt x="406400" y="9931400"/>
                              </a:lnTo>
                              <a:lnTo>
                                <a:pt x="0" y="9931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44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87" style="width:32pt;height:782pt;position:absolute;z-index:-2147483648;mso-position-horizontal-relative:page;mso-position-horizontal:absolute;margin-left:0pt;mso-position-vertical-relative:page;margin-top:0pt;" coordsize="4064,99314">
              <v:shape id="Shape 4243" style="position:absolute;width:4064;height:99314;left:0;top:0;" coordsize="406400,9931400" path="m0,0l406400,0l406400,9931400l0,9931400l0,0">
                <v:stroke weight="0pt" endcap="square" joinstyle="miter" miterlimit="10" on="false" color="#000000" opacity="0"/>
                <v:fill on="true" color="#01447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D9063" w14:textId="77777777" w:rsidR="00D63300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79D7CB7" wp14:editId="0FC6413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06400" cy="9931400"/>
              <wp:effectExtent l="0" t="0" r="0" b="0"/>
              <wp:wrapNone/>
              <wp:docPr id="3972" name="Group 39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6400" cy="9931400"/>
                        <a:chOff x="0" y="0"/>
                        <a:chExt cx="406400" cy="9931400"/>
                      </a:xfrm>
                    </wpg:grpSpPr>
                    <wps:wsp>
                      <wps:cNvPr id="4240" name="Shape 4240"/>
                      <wps:cNvSpPr/>
                      <wps:spPr>
                        <a:xfrm>
                          <a:off x="0" y="0"/>
                          <a:ext cx="406400" cy="9931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6400" h="9931400">
                              <a:moveTo>
                                <a:pt x="0" y="0"/>
                              </a:moveTo>
                              <a:lnTo>
                                <a:pt x="406400" y="0"/>
                              </a:lnTo>
                              <a:lnTo>
                                <a:pt x="406400" y="9931400"/>
                              </a:lnTo>
                              <a:lnTo>
                                <a:pt x="0" y="9931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1447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972" style="width:32pt;height:782pt;position:absolute;z-index:-2147483648;mso-position-horizontal-relative:page;mso-position-horizontal:absolute;margin-left:0pt;mso-position-vertical-relative:page;margin-top:0pt;" coordsize="4064,99314">
              <v:shape id="Shape 4241" style="position:absolute;width:4064;height:99314;left:0;top:0;" coordsize="406400,9931400" path="m0,0l406400,0l406400,9931400l0,9931400l0,0">
                <v:stroke weight="0pt" endcap="square" joinstyle="miter" miterlimit="10" on="false" color="#000000" opacity="0"/>
                <v:fill on="true" color="#01447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83EAA"/>
    <w:multiLevelType w:val="hybridMultilevel"/>
    <w:tmpl w:val="A0CC2B68"/>
    <w:lvl w:ilvl="0" w:tplc="B192B970">
      <w:start w:val="1"/>
      <w:numFmt w:val="decimal"/>
      <w:lvlText w:val="%1)"/>
      <w:lvlJc w:val="left"/>
      <w:pPr>
        <w:ind w:left="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4C46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D680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22B3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B60B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467C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F287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AA09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2E59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5034887"/>
    <w:multiLevelType w:val="hybridMultilevel"/>
    <w:tmpl w:val="292A946C"/>
    <w:lvl w:ilvl="0" w:tplc="6E1ED8CE">
      <w:start w:val="1"/>
      <w:numFmt w:val="decimal"/>
      <w:lvlText w:val="%1)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70241A">
      <w:start w:val="1"/>
      <w:numFmt w:val="lowerLetter"/>
      <w:lvlText w:val="%2"/>
      <w:lvlJc w:val="left"/>
      <w:pPr>
        <w:ind w:left="1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885400">
      <w:start w:val="1"/>
      <w:numFmt w:val="lowerRoman"/>
      <w:lvlText w:val="%3"/>
      <w:lvlJc w:val="left"/>
      <w:pPr>
        <w:ind w:left="2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C881C8">
      <w:start w:val="1"/>
      <w:numFmt w:val="decimal"/>
      <w:lvlText w:val="%4"/>
      <w:lvlJc w:val="left"/>
      <w:pPr>
        <w:ind w:left="3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DCF854">
      <w:start w:val="1"/>
      <w:numFmt w:val="lowerLetter"/>
      <w:lvlText w:val="%5"/>
      <w:lvlJc w:val="left"/>
      <w:pPr>
        <w:ind w:left="3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AA9078">
      <w:start w:val="1"/>
      <w:numFmt w:val="lowerRoman"/>
      <w:lvlText w:val="%6"/>
      <w:lvlJc w:val="left"/>
      <w:pPr>
        <w:ind w:left="4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AAC79E">
      <w:start w:val="1"/>
      <w:numFmt w:val="decimal"/>
      <w:lvlText w:val="%7"/>
      <w:lvlJc w:val="left"/>
      <w:pPr>
        <w:ind w:left="5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022EFE">
      <w:start w:val="1"/>
      <w:numFmt w:val="lowerLetter"/>
      <w:lvlText w:val="%8"/>
      <w:lvlJc w:val="left"/>
      <w:pPr>
        <w:ind w:left="6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C42A82">
      <w:start w:val="1"/>
      <w:numFmt w:val="lowerRoman"/>
      <w:lvlText w:val="%9"/>
      <w:lvlJc w:val="left"/>
      <w:pPr>
        <w:ind w:left="6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175D19"/>
    <w:multiLevelType w:val="hybridMultilevel"/>
    <w:tmpl w:val="B08432DC"/>
    <w:lvl w:ilvl="0" w:tplc="6D6897FA">
      <w:start w:val="1"/>
      <w:numFmt w:val="decimal"/>
      <w:lvlText w:val="%1)"/>
      <w:lvlJc w:val="left"/>
      <w:pPr>
        <w:ind w:left="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0E7D78">
      <w:start w:val="1"/>
      <w:numFmt w:val="lowerLetter"/>
      <w:lvlText w:val="%2"/>
      <w:lvlJc w:val="left"/>
      <w:pPr>
        <w:ind w:left="1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04B224">
      <w:start w:val="1"/>
      <w:numFmt w:val="lowerRoman"/>
      <w:lvlText w:val="%3"/>
      <w:lvlJc w:val="left"/>
      <w:pPr>
        <w:ind w:left="2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043CFC">
      <w:start w:val="1"/>
      <w:numFmt w:val="decimal"/>
      <w:lvlText w:val="%4"/>
      <w:lvlJc w:val="left"/>
      <w:pPr>
        <w:ind w:left="3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32FC3C">
      <w:start w:val="1"/>
      <w:numFmt w:val="lowerLetter"/>
      <w:lvlText w:val="%5"/>
      <w:lvlJc w:val="left"/>
      <w:pPr>
        <w:ind w:left="3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B21296">
      <w:start w:val="1"/>
      <w:numFmt w:val="lowerRoman"/>
      <w:lvlText w:val="%6"/>
      <w:lvlJc w:val="left"/>
      <w:pPr>
        <w:ind w:left="4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46403E">
      <w:start w:val="1"/>
      <w:numFmt w:val="decimal"/>
      <w:lvlText w:val="%7"/>
      <w:lvlJc w:val="left"/>
      <w:pPr>
        <w:ind w:left="5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8ECD90">
      <w:start w:val="1"/>
      <w:numFmt w:val="lowerLetter"/>
      <w:lvlText w:val="%8"/>
      <w:lvlJc w:val="left"/>
      <w:pPr>
        <w:ind w:left="6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CAC8EE">
      <w:start w:val="1"/>
      <w:numFmt w:val="lowerRoman"/>
      <w:lvlText w:val="%9"/>
      <w:lvlJc w:val="left"/>
      <w:pPr>
        <w:ind w:left="6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9904527">
    <w:abstractNumId w:val="0"/>
  </w:num>
  <w:num w:numId="2" w16cid:durableId="1942645691">
    <w:abstractNumId w:val="2"/>
  </w:num>
  <w:num w:numId="3" w16cid:durableId="1641349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300"/>
    <w:rsid w:val="00022D45"/>
    <w:rsid w:val="0092240A"/>
    <w:rsid w:val="00CD2977"/>
    <w:rsid w:val="00D6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38B9"/>
  <w15:docId w15:val="{B073AD58-D486-4A00-927E-696BCDC5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222" w:line="259" w:lineRule="auto"/>
      <w:ind w:left="18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www.sinj.df.gov.br/sinj/Norma/eeef96df570e4f95b03502793418ab77/tcdf_in_03_2021.html" TargetMode="External"/><Relationship Id="rId26" Type="http://schemas.openxmlformats.org/officeDocument/2006/relationships/hyperlink" Target="http://www.planalto.gov.br/ccivil_03/leis/2002/l10406.htm" TargetMode="External"/><Relationship Id="rId39" Type="http://schemas.openxmlformats.org/officeDocument/2006/relationships/hyperlink" Target="http://www.sinj.df.gov.br/sinj/DetalhesDeNorma.aspx?id_norma=51831" TargetMode="External"/><Relationship Id="rId21" Type="http://schemas.openxmlformats.org/officeDocument/2006/relationships/hyperlink" Target="http://www.sinj.df.gov.br/sinj/DetalhesDeNorma.aspx?id_norma=dafaadb15ff3452f82afc4390b5ee432" TargetMode="External"/><Relationship Id="rId34" Type="http://schemas.openxmlformats.org/officeDocument/2006/relationships/hyperlink" Target="http://www.sinj.df.gov.br/sinj/DetalhesDeNorma.aspx?id_norma=70196" TargetMode="External"/><Relationship Id="rId42" Type="http://schemas.openxmlformats.org/officeDocument/2006/relationships/hyperlink" Target="https://etcdf.tc.df.gov.br/?a=consultaETCDF&amp;f=formPrincipal&amp;edoc=9F9BC1AA" TargetMode="External"/><Relationship Id="rId47" Type="http://schemas.openxmlformats.org/officeDocument/2006/relationships/hyperlink" Target="https://etcdf.tc.df.gov.br/?a=consultaETCDF&amp;f=formPrincipal&amp;edoc=F02A98E3" TargetMode="External"/><Relationship Id="rId50" Type="http://schemas.openxmlformats.org/officeDocument/2006/relationships/hyperlink" Target="https://etcdf.tc.df.gov.br/?a=consultaETCDF&amp;f=formPrincipal&amp;edoc=1D545B98" TargetMode="External"/><Relationship Id="rId55" Type="http://schemas.openxmlformats.org/officeDocument/2006/relationships/hyperlink" Target="https://etcdf.tc.df.gov.br/?a=consultaETCDF&amp;f=formPrincipal&amp;edoc=2592F62B" TargetMode="External"/><Relationship Id="rId63" Type="http://schemas.openxmlformats.org/officeDocument/2006/relationships/hyperlink" Target="https://etcdf.tc.df.gov.br/?a=consultaETCDF&amp;f=formPrincipal&amp;edoc=79EC44A4" TargetMode="Externa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://www.sinj.df.gov.br/sinj/DetalhesDeNorma.aspx?id_norma=dafaadb15ff3452f82afc4390b5ee432" TargetMode="External"/><Relationship Id="rId29" Type="http://schemas.openxmlformats.org/officeDocument/2006/relationships/hyperlink" Target="http://www.planalto.gov.br/ccivil_03/leis/2002/l10406.htm" TargetMode="External"/><Relationship Id="rId41" Type="http://schemas.openxmlformats.org/officeDocument/2006/relationships/hyperlink" Target="https://etcdf.tc.df.gov.br/?a=consultaETCDF&amp;f=formPrincipal&amp;edoc=E6F0BD14" TargetMode="External"/><Relationship Id="rId54" Type="http://schemas.openxmlformats.org/officeDocument/2006/relationships/hyperlink" Target="https://etcdf.tc.df.gov.br/?a=consultaETCDF&amp;f=formPrincipal&amp;edoc=AF22FC24" TargetMode="External"/><Relationship Id="rId62" Type="http://schemas.openxmlformats.org/officeDocument/2006/relationships/hyperlink" Target="https://etcdf.tc.df.gov.br/?a=consultaETCDF&amp;f=formPrincipal&amp;edoc=247E98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yperlink" Target="http://www.planalto.gov.br/ccivil_03/leis/2002/l10406.htm" TargetMode="External"/><Relationship Id="rId32" Type="http://schemas.openxmlformats.org/officeDocument/2006/relationships/hyperlink" Target="https://etcdf.tc.df.gov.br/?a=consultaETCDF&amp;f=formPrincipal&amp;edoc=1BA8F2EF" TargetMode="External"/><Relationship Id="rId37" Type="http://schemas.openxmlformats.org/officeDocument/2006/relationships/hyperlink" Target="https://scon.stj.jus.br/SCON/GetInteiroTeorDoAcordao?num_registro=201802554613&amp;dt_publicacao=19/05/2021" TargetMode="External"/><Relationship Id="rId40" Type="http://schemas.openxmlformats.org/officeDocument/2006/relationships/hyperlink" Target="https://etcdf.tc.df.gov.br/?a=consultaETCDF&amp;f=formPrincipal&amp;edoc=F551F1EF" TargetMode="External"/><Relationship Id="rId45" Type="http://schemas.openxmlformats.org/officeDocument/2006/relationships/hyperlink" Target="http://www.planalto.gov.br/ccivil_03/_ato2019-2022/2021/lei/L14133.htm" TargetMode="External"/><Relationship Id="rId53" Type="http://schemas.openxmlformats.org/officeDocument/2006/relationships/hyperlink" Target="https://etcdf.tc.df.gov.br/?a=consultaETCDF&amp;f=formPrincipal&amp;edoc=AEF9A41D" TargetMode="External"/><Relationship Id="rId58" Type="http://schemas.openxmlformats.org/officeDocument/2006/relationships/hyperlink" Target="https://etcdf.tc.df.gov.br/?a=consultaETCDF&amp;f=formPrincipal&amp;edoc=DD56F55E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yperlink" Target="http://www.sinj.df.gov.br/sinj/DetalhesDeNorma.aspx?id_norma=dafaadb15ff3452f82afc4390b5ee432" TargetMode="External"/><Relationship Id="rId28" Type="http://schemas.openxmlformats.org/officeDocument/2006/relationships/hyperlink" Target="http://www.planalto.gov.br/ccivil_03/leis/2002/l10406.htm" TargetMode="External"/><Relationship Id="rId36" Type="http://schemas.openxmlformats.org/officeDocument/2006/relationships/hyperlink" Target="https://etcdf.tc.df.gov.br/?a=consultaETCDF&amp;f=formPrincipal&amp;edoc=9625B8D8" TargetMode="External"/><Relationship Id="rId49" Type="http://schemas.openxmlformats.org/officeDocument/2006/relationships/hyperlink" Target="https://etcdf.tc.df.gov.br/?a=consultaETCDF&amp;f=formPrincipal&amp;edoc=840F02B0" TargetMode="External"/><Relationship Id="rId57" Type="http://schemas.openxmlformats.org/officeDocument/2006/relationships/hyperlink" Target="https://etcdf.tc.df.gov.br/?a=consultaETCDF&amp;f=formPrincipal&amp;edoc=938FAE9C" TargetMode="External"/><Relationship Id="rId61" Type="http://schemas.openxmlformats.org/officeDocument/2006/relationships/hyperlink" Target="https://etcdf.tc.df.gov.br/?a=consultaETCDF&amp;f=formPrincipal&amp;edoc=6EB14E06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www.planalto.gov.br/ccivil_03/_ato2011-2014/2014/lei/l13019.htm" TargetMode="External"/><Relationship Id="rId31" Type="http://schemas.openxmlformats.org/officeDocument/2006/relationships/hyperlink" Target="http://www.planalto.gov.br/ccivil_03/leis/2002/l10406.htm" TargetMode="External"/><Relationship Id="rId44" Type="http://schemas.openxmlformats.org/officeDocument/2006/relationships/hyperlink" Target="https://pesquisa.apps.tcu.gov.br/documento/acordao-completo/*/NUMACORDAO%253A1435%2520/DTRELEVANCIA%2520desc%252C%2520NUMACORDAOINT%2520desc/0" TargetMode="External"/><Relationship Id="rId52" Type="http://schemas.openxmlformats.org/officeDocument/2006/relationships/hyperlink" Target="https://etcdf.tc.df.gov.br/?a=consultaETCDF&amp;f=formPrincipal&amp;edoc=66431859" TargetMode="External"/><Relationship Id="rId60" Type="http://schemas.openxmlformats.org/officeDocument/2006/relationships/hyperlink" Target="https://etcdf.tc.df.gov.br/?a=consultaETCDF&amp;f=formPrincipal&amp;edoc=DDE1E89F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0.jpg"/><Relationship Id="rId14" Type="http://schemas.openxmlformats.org/officeDocument/2006/relationships/footer" Target="footer2.xml"/><Relationship Id="rId22" Type="http://schemas.openxmlformats.org/officeDocument/2006/relationships/hyperlink" Target="http://www.sinj.df.gov.br/sinj/DetalhesDeNorma.aspx?id_norma=dafaadb15ff3452f82afc4390b5ee432" TargetMode="External"/><Relationship Id="rId27" Type="http://schemas.openxmlformats.org/officeDocument/2006/relationships/hyperlink" Target="http://www.planalto.gov.br/ccivil_03/leis/2002/l10406.htm" TargetMode="External"/><Relationship Id="rId30" Type="http://schemas.openxmlformats.org/officeDocument/2006/relationships/hyperlink" Target="http://www.planalto.gov.br/ccivil_03/leis/2002/l10406.htm" TargetMode="External"/><Relationship Id="rId35" Type="http://schemas.openxmlformats.org/officeDocument/2006/relationships/hyperlink" Target="https://etcdf.tc.df.gov.br/?a=consultaETCDF&amp;f=formPrincipal&amp;edoc=EE8D7926" TargetMode="External"/><Relationship Id="rId43" Type="http://schemas.openxmlformats.org/officeDocument/2006/relationships/hyperlink" Target="https://pesquisa.apps.tcu.gov.br/resultado/sumula/*/NUMERO%253A247/sinonimos%253Dtrue" TargetMode="External"/><Relationship Id="rId48" Type="http://schemas.openxmlformats.org/officeDocument/2006/relationships/hyperlink" Target="https://etcdf.tc.df.gov.br/?a=consultaETCDF&amp;f=formPrincipal&amp;edoc=AB2962B2" TargetMode="External"/><Relationship Id="rId56" Type="http://schemas.openxmlformats.org/officeDocument/2006/relationships/hyperlink" Target="https://etcdf.tc.df.gov.br/?a=consultaETCDF&amp;f=formPrincipal&amp;edoc=5F79CE7F" TargetMode="External"/><Relationship Id="rId64" Type="http://schemas.openxmlformats.org/officeDocument/2006/relationships/hyperlink" Target="https://etcdf.tc.df.gov.br/?a=consultaETCDF&amp;f=formPrincipal&amp;edoc=8FEE83CC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etcdf.tc.df.gov.br/?a=consultaETCDF&amp;f=formPrincipal&amp;edoc=BCAB3369" TargetMode="Externa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www.sinj.df.gov.br/sinj/Norma/eeef96df570e4f95b03502793418ab77/tcdf_in_03_2021.html" TargetMode="External"/><Relationship Id="rId25" Type="http://schemas.openxmlformats.org/officeDocument/2006/relationships/hyperlink" Target="http://www.planalto.gov.br/ccivil_03/leis/2002/l10406.htm" TargetMode="External"/><Relationship Id="rId33" Type="http://schemas.openxmlformats.org/officeDocument/2006/relationships/hyperlink" Target="http://www.planalto.gov.br/ccivil_03/_ato2011-2014/2014/lei/l13019.htm" TargetMode="External"/><Relationship Id="rId38" Type="http://schemas.openxmlformats.org/officeDocument/2006/relationships/hyperlink" Target="https://scon.stj.jus.br/SCON/GetInteiroTeorDoAcordao?num_registro=201100591041&amp;dt_publicacao=19/10/2012" TargetMode="External"/><Relationship Id="rId46" Type="http://schemas.openxmlformats.org/officeDocument/2006/relationships/hyperlink" Target="http://www.sinj.df.gov.br/sinj/DetalhesDeNorma.aspx?id_norma=51831" TargetMode="External"/><Relationship Id="rId59" Type="http://schemas.openxmlformats.org/officeDocument/2006/relationships/hyperlink" Target="https://etcdf.tc.df.gov.br/?a=consultaETCDF&amp;f=formPrincipal&amp;edoc=4276B3E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1807</Words>
  <Characters>9760</Characters>
  <Application>Microsoft Office Word</Application>
  <DocSecurity>0</DocSecurity>
  <Lines>81</Lines>
  <Paragraphs>23</Paragraphs>
  <ScaleCrop>false</ScaleCrop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Kamili Teles De Araújo</dc:creator>
  <cp:keywords/>
  <cp:lastModifiedBy>Kamili Teles De Araújo</cp:lastModifiedBy>
  <cp:revision>2</cp:revision>
  <dcterms:created xsi:type="dcterms:W3CDTF">2026-08-26T19:44:00Z</dcterms:created>
  <dcterms:modified xsi:type="dcterms:W3CDTF">2026-08-26T19:44:00Z</dcterms:modified>
</cp:coreProperties>
</file>