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4D98" w14:textId="77777777" w:rsidR="00EC412A" w:rsidRDefault="00000000">
      <w:pPr>
        <w:shd w:val="clear" w:color="auto" w:fill="01447F"/>
        <w:spacing w:after="164" w:line="243" w:lineRule="auto"/>
        <w:ind w:left="200" w:right="3314" w:firstLine="0"/>
        <w:jc w:val="left"/>
      </w:pPr>
      <w:r>
        <w:rPr>
          <w:b/>
          <w:color w:val="FFFFFF"/>
          <w:sz w:val="42"/>
        </w:rPr>
        <w:t>Boletim de Jurisprudência Licitações e Contratos, nº 12</w:t>
      </w:r>
    </w:p>
    <w:p w14:paraId="5A309E41" w14:textId="77777777" w:rsidR="00EC412A" w:rsidRDefault="00000000">
      <w:pPr>
        <w:spacing w:after="222" w:line="259" w:lineRule="auto"/>
        <w:ind w:left="195" w:right="0"/>
        <w:jc w:val="left"/>
      </w:pPr>
      <w:r>
        <w:rPr>
          <w:b/>
          <w:sz w:val="24"/>
        </w:rPr>
        <w:t>Sessões de julho a dezembro de 2024.</w:t>
      </w:r>
    </w:p>
    <w:p w14:paraId="1633FBE2" w14:textId="77777777" w:rsidR="00EC412A" w:rsidRDefault="00000000">
      <w:pPr>
        <w:spacing w:after="0" w:line="326" w:lineRule="auto"/>
        <w:ind w:left="135" w:right="0"/>
        <w:jc w:val="left"/>
      </w:pPr>
      <w:r>
        <w:rPr>
          <w:sz w:val="24"/>
        </w:rPr>
        <w:t xml:space="preserve">     Este boletim periódico apresenta um conjunto de decisões do Tribunal de Contas do Distrito Federal (TCDF) que foram destacadas por sua relevância.</w:t>
      </w:r>
    </w:p>
    <w:p w14:paraId="6352BF87" w14:textId="77777777" w:rsidR="00EC412A" w:rsidRDefault="00000000">
      <w:pPr>
        <w:spacing w:after="0" w:line="326" w:lineRule="auto"/>
        <w:ind w:left="135" w:right="0"/>
        <w:jc w:val="left"/>
      </w:pPr>
      <w:r>
        <w:rPr>
          <w:sz w:val="24"/>
        </w:rPr>
        <w:t xml:space="preserve">     As decisões estão expostas por meio de resumos produzidos pela Supervisão de Legislação e Jurisprudência - SLJ ou pela ementa dos votos dos Conselheiros Relatores.</w:t>
      </w:r>
    </w:p>
    <w:p w14:paraId="788A813F" w14:textId="77777777" w:rsidR="00EC412A" w:rsidRDefault="00000000">
      <w:pPr>
        <w:spacing w:after="0" w:line="326" w:lineRule="auto"/>
        <w:ind w:left="135" w:right="0"/>
        <w:jc w:val="left"/>
      </w:pPr>
      <w:r>
        <w:rPr>
          <w:sz w:val="24"/>
        </w:rPr>
        <w:t xml:space="preserve">     Importante destacar que as informações não são um resumo oficial, nem refletem necessariamente a opinião dominante do Tribunal.</w:t>
      </w:r>
    </w:p>
    <w:tbl>
      <w:tblPr>
        <w:tblStyle w:val="TableGrid"/>
        <w:tblpPr w:vertAnchor="page" w:horzAnchor="page" w:tblpX="100" w:tblpY="91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690E3BBA" w14:textId="77777777">
        <w:trPr>
          <w:trHeight w:val="400"/>
        </w:trPr>
        <w:tc>
          <w:tcPr>
            <w:tcW w:w="500" w:type="dxa"/>
            <w:tcBorders>
              <w:top w:val="nil"/>
              <w:left w:val="nil"/>
              <w:bottom w:val="nil"/>
              <w:right w:val="nil"/>
            </w:tcBorders>
            <w:shd w:val="clear" w:color="auto" w:fill="01447F"/>
          </w:tcPr>
          <w:p w14:paraId="748D3A9B" w14:textId="77777777" w:rsidR="00EC412A" w:rsidRDefault="00000000">
            <w:pPr>
              <w:spacing w:after="0" w:line="259" w:lineRule="auto"/>
              <w:ind w:left="0" w:right="0" w:firstLine="0"/>
              <w:jc w:val="left"/>
            </w:pPr>
            <w:r>
              <w:rPr>
                <w:b/>
                <w:color w:val="FFFFFF"/>
                <w:sz w:val="28"/>
              </w:rPr>
              <w:t>1</w:t>
            </w:r>
          </w:p>
        </w:tc>
      </w:tr>
    </w:tbl>
    <w:p w14:paraId="62162C4E" w14:textId="77777777" w:rsidR="00EC412A" w:rsidRDefault="00000000">
      <w:pPr>
        <w:spacing w:after="794" w:line="326" w:lineRule="auto"/>
        <w:ind w:left="135" w:right="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10C87D1" wp14:editId="68C33A36">
                <wp:simplePos x="0" y="0"/>
                <wp:positionH relativeFrom="page">
                  <wp:posOffset>0</wp:posOffset>
                </wp:positionH>
                <wp:positionV relativeFrom="page">
                  <wp:posOffset>0</wp:posOffset>
                </wp:positionV>
                <wp:extent cx="7556500" cy="966723"/>
                <wp:effectExtent l="0" t="0" r="0" b="0"/>
                <wp:wrapTopAndBottom/>
                <wp:docPr id="6014" name="Group 6014"/>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17" name="Picture 17"/>
                          <pic:cNvPicPr/>
                        </pic:nvPicPr>
                        <pic:blipFill>
                          <a:blip r:embed="rId7"/>
                          <a:stretch>
                            <a:fillRect/>
                          </a:stretch>
                        </pic:blipFill>
                        <pic:spPr>
                          <a:xfrm>
                            <a:off x="0" y="0"/>
                            <a:ext cx="7556500" cy="903224"/>
                          </a:xfrm>
                          <a:prstGeom prst="rect">
                            <a:avLst/>
                          </a:prstGeom>
                        </pic:spPr>
                      </pic:pic>
                      <pic:pic xmlns:pic="http://schemas.openxmlformats.org/drawingml/2006/picture">
                        <pic:nvPicPr>
                          <pic:cNvPr id="7701" name="Picture 7701"/>
                          <pic:cNvPicPr/>
                        </pic:nvPicPr>
                        <pic:blipFill>
                          <a:blip r:embed="rId8"/>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6014" style="width:595pt;height:76.1199pt;position:absolute;mso-position-horizontal-relative:page;mso-position-horizontal:absolute;margin-left:0pt;mso-position-vertical-relative:page;margin-top:-7.62939e-06pt;" coordsize="75565,9667">
                <v:shape id="Picture 17" style="position:absolute;width:75565;height:9032;left:0;top:0;" filled="f">
                  <v:imagedata r:id="rId9"/>
                </v:shape>
                <v:shape id="Picture 7701" style="position:absolute;width:74828;height:9052;left:609;top:609;" filled="f">
                  <v:imagedata r:id="rId10"/>
                </v:shape>
                <w10:wrap type="topAndBottom"/>
              </v:group>
            </w:pict>
          </mc:Fallback>
        </mc:AlternateContent>
      </w:r>
      <w:r>
        <w:rPr>
          <w:sz w:val="24"/>
        </w:rPr>
        <w:t xml:space="preserve">     Para detalhes, acesse os documentos do processo pelos links fornecidos.</w:t>
      </w:r>
    </w:p>
    <w:p w14:paraId="07AE8F18" w14:textId="77777777" w:rsidR="00EC412A" w:rsidRDefault="00000000">
      <w:pPr>
        <w:spacing w:after="762" w:line="259" w:lineRule="auto"/>
        <w:ind w:left="2300" w:right="0" w:firstLine="0"/>
        <w:jc w:val="left"/>
      </w:pPr>
      <w:r>
        <w:rPr>
          <w:rFonts w:ascii="Calibri" w:eastAsia="Calibri" w:hAnsi="Calibri" w:cs="Calibri"/>
          <w:noProof/>
          <w:sz w:val="22"/>
        </w:rPr>
        <mc:AlternateContent>
          <mc:Choice Requires="wpg">
            <w:drawing>
              <wp:inline distT="0" distB="0" distL="0" distR="0" wp14:anchorId="249D08EE" wp14:editId="376C47BC">
                <wp:extent cx="3683000" cy="12700"/>
                <wp:effectExtent l="0" t="0" r="0" b="0"/>
                <wp:docPr id="6015" name="Group 6015"/>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24" name="Shape 24"/>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015" style="width:290pt;height:1pt;mso-position-horizontal-relative:char;mso-position-vertical-relative:line" coordsize="36830,127">
                <v:shape id="Shape 24" style="position:absolute;width:36830;height:0;left:0;top:0;" coordsize="3683000,0" path="m0,0l3683000,0">
                  <v:stroke weight="1pt" endcap="flat" joinstyle="miter" miterlimit="10" on="true" color="#000000"/>
                  <v:fill on="false" color="#000000" opacity="0"/>
                </v:shape>
              </v:group>
            </w:pict>
          </mc:Fallback>
        </mc:AlternateContent>
      </w:r>
    </w:p>
    <w:p w14:paraId="4EB44EA1" w14:textId="77777777" w:rsidR="00EC412A" w:rsidRDefault="00000000">
      <w:pPr>
        <w:spacing w:after="0"/>
        <w:ind w:left="15" w:right="8"/>
      </w:pPr>
      <w:r>
        <w:rPr>
          <w:b/>
        </w:rPr>
        <w:t>LICITAÇÕES E CONTRATOS. SECRETARIA DE ESTADO DE EDUCAÇÃO DO DISTRITO FEDERAL - SEE/DF. REPRESENTAÇÕES. PREGÃO ELETRÔNICO. OBRAS E SERVIÇOS DE ENGENHARIA. PROPOSTAS.</w:t>
      </w:r>
    </w:p>
    <w:p w14:paraId="76395831" w14:textId="77777777" w:rsidR="00EC412A" w:rsidRDefault="00000000">
      <w:pPr>
        <w:spacing w:after="409"/>
        <w:ind w:left="15" w:right="8"/>
      </w:pPr>
      <w:r>
        <w:rPr>
          <w:b/>
        </w:rPr>
        <w:t>PERCENTUAL DE DESCONTO SUPERIOR. DESCLASSIFICAÇÃO SUMÁRIA. IRREGULARIDADE. ART. 59 DA LEI N.° 14.133/2021. VIABILIDADE. OPORTUNIDADE DE COMPROVAÇÃO. DILIGÊNCIAS ADICIONAIS. DOCUMENTAÇÃO. ELEMENTOS TÉCNICOS. PRAZO RAZOÁVEL.</w:t>
      </w:r>
    </w:p>
    <w:p w14:paraId="10F94A9D" w14:textId="77777777" w:rsidR="00EC412A" w:rsidRDefault="00000000">
      <w:pPr>
        <w:spacing w:after="401"/>
        <w:ind w:left="15" w:right="8"/>
      </w:pPr>
      <w:r>
        <w:t>Representações provenientes de empresas desclassificadas no Pregão Eletrônico nº 90015/2024 - SEE/DF, diante da apresentação de propostas de preços tidas por inexequíveis, com descontos superiores a 25% (vinte e cinco por cento) sobre o custo estimado pela jurisdicionada. Por intermédio do Despacho Singular nº 218/2024-GCAM, a Conselheira relatora acompanhou a argumentação trazida pelo corpo técnico no sentido de que, a partir do disposto no art. 59 da Lei nº 14.1333/2021, deve haver uma presunção relativa de inexequibilidade no lugar da desclassificação sumária da empresa licitante, oportunizando a comprovação de viabilidade da proposta. O Tribunal, por unanimidade, referendou o mencionado Despacho que determinou à jurisdicionada a adoção das seguintes medidas: a) abstenção de desclassificar licitantes sem conceder a oportunidade para comprovarem a exequibilidade de suas propostas, ainda que o desconto ofertado tenha sido superior a 25%, em face da presunção relativa de inexequibilidade; b) realização de análise, de forma individual e pormenorizada, das planilhas de formação de custos unitários das empresas participantes que apresentarem descontos superiores a 25%, de forma a aferir a razoabilidade dos quantitativos e a compatibilidade dos custos unitários; d) promoção de diligências junto às empresas para que estas comprovem, por meio de documentações lastreadas em elementos técnicos, a viabilidade dos custos ou quantitativos com suspeitas de inexequibilidade, caso identifique nas planilhas de formação de custos dos licitantes itens/insumos com indícios de inexequibilidade; e) concessão de prazo razoável de, no mínimo, 24 (vinte e quatro) horas para que as empresas licitantes comprovem a exequibilidade de suas propostas.</w:t>
      </w:r>
    </w:p>
    <w:tbl>
      <w:tblPr>
        <w:tblStyle w:val="TableGrid"/>
        <w:tblW w:w="8421" w:type="dxa"/>
        <w:tblInd w:w="20" w:type="dxa"/>
        <w:tblCellMar>
          <w:top w:w="0" w:type="dxa"/>
          <w:left w:w="0" w:type="dxa"/>
          <w:bottom w:w="0" w:type="dxa"/>
          <w:right w:w="0" w:type="dxa"/>
        </w:tblCellMar>
        <w:tblLook w:val="04A0" w:firstRow="1" w:lastRow="0" w:firstColumn="1" w:lastColumn="0" w:noHBand="0" w:noVBand="1"/>
      </w:tblPr>
      <w:tblGrid>
        <w:gridCol w:w="5080"/>
        <w:gridCol w:w="3341"/>
      </w:tblGrid>
      <w:tr w:rsidR="00EC412A" w14:paraId="767AA7FA" w14:textId="77777777">
        <w:trPr>
          <w:trHeight w:val="485"/>
        </w:trPr>
        <w:tc>
          <w:tcPr>
            <w:tcW w:w="5080" w:type="dxa"/>
            <w:tcBorders>
              <w:top w:val="nil"/>
              <w:left w:val="nil"/>
              <w:bottom w:val="nil"/>
              <w:right w:val="nil"/>
            </w:tcBorders>
          </w:tcPr>
          <w:p w14:paraId="46B0116C" w14:textId="77777777" w:rsidR="00EC412A" w:rsidRDefault="00000000">
            <w:pPr>
              <w:spacing w:after="52" w:line="259" w:lineRule="auto"/>
              <w:ind w:left="0" w:right="0" w:firstLine="0"/>
              <w:jc w:val="left"/>
            </w:pPr>
            <w:r>
              <w:rPr>
                <w:b/>
              </w:rPr>
              <w:t>Relator:</w:t>
            </w:r>
          </w:p>
          <w:p w14:paraId="6B993266" w14:textId="77777777" w:rsidR="00EC412A" w:rsidRDefault="00000000">
            <w:pPr>
              <w:spacing w:after="0" w:line="259" w:lineRule="auto"/>
              <w:ind w:left="0" w:right="0" w:firstLine="0"/>
              <w:jc w:val="left"/>
            </w:pPr>
            <w:r>
              <w:rPr>
                <w:b/>
              </w:rPr>
              <w:t>Anilcéia Luzia Machado</w:t>
            </w:r>
          </w:p>
        </w:tc>
        <w:tc>
          <w:tcPr>
            <w:tcW w:w="3341" w:type="dxa"/>
            <w:tcBorders>
              <w:top w:val="nil"/>
              <w:left w:val="nil"/>
              <w:bottom w:val="nil"/>
              <w:right w:val="nil"/>
            </w:tcBorders>
          </w:tcPr>
          <w:p w14:paraId="6F2F6EE9" w14:textId="77777777" w:rsidR="00EC412A" w:rsidRDefault="00000000">
            <w:pPr>
              <w:spacing w:after="52" w:line="259" w:lineRule="auto"/>
              <w:ind w:left="0" w:right="0" w:firstLine="0"/>
              <w:jc w:val="left"/>
            </w:pPr>
            <w:r>
              <w:rPr>
                <w:b/>
              </w:rPr>
              <w:t>Sessão:</w:t>
            </w:r>
          </w:p>
          <w:p w14:paraId="09BEC43A" w14:textId="77777777" w:rsidR="00EC412A" w:rsidRDefault="00000000">
            <w:pPr>
              <w:spacing w:after="0" w:line="259" w:lineRule="auto"/>
              <w:ind w:left="0" w:right="0" w:firstLine="0"/>
            </w:pPr>
            <w:r>
              <w:rPr>
                <w:b/>
              </w:rPr>
              <w:t>ORDINÁRIA nº 5389, de 31/07/2024.</w:t>
            </w:r>
          </w:p>
        </w:tc>
      </w:tr>
    </w:tbl>
    <w:p w14:paraId="5A8B29E4" w14:textId="77777777" w:rsidR="00EC412A" w:rsidRDefault="00000000">
      <w:pPr>
        <w:tabs>
          <w:tab w:val="center" w:pos="6869"/>
        </w:tabs>
        <w:spacing w:after="434" w:line="265" w:lineRule="auto"/>
        <w:ind w:left="0" w:right="0" w:firstLine="0"/>
        <w:jc w:val="left"/>
      </w:pPr>
      <w:r>
        <w:rPr>
          <w:b/>
        </w:rPr>
        <w:t>Decisão por unanimidade</w:t>
      </w:r>
      <w:r>
        <w:rPr>
          <w:b/>
        </w:rPr>
        <w:tab/>
      </w:r>
      <w:hyperlink r:id="rId11">
        <w:r>
          <w:rPr>
            <w:color w:val="2205FC"/>
            <w:u w:val="single" w:color="2205FC"/>
          </w:rPr>
          <w:t>Proc. nº 1622/2024 - Dec. nº 2779/2024</w:t>
        </w:r>
      </w:hyperlink>
    </w:p>
    <w:p w14:paraId="27D2E446" w14:textId="77777777" w:rsidR="00EC412A" w:rsidRDefault="00000000">
      <w:pPr>
        <w:spacing w:after="158"/>
        <w:ind w:left="15" w:right="8"/>
      </w:pPr>
      <w:r>
        <w:rPr>
          <w:b/>
        </w:rPr>
        <w:t>Legislação relacionada:</w:t>
      </w:r>
    </w:p>
    <w:p w14:paraId="608C201A" w14:textId="77777777" w:rsidR="00EC412A" w:rsidRDefault="00000000">
      <w:pPr>
        <w:spacing w:after="167" w:line="265" w:lineRule="auto"/>
        <w:ind w:left="35" w:right="0"/>
        <w:jc w:val="left"/>
      </w:pPr>
      <w:hyperlink r:id="rId12">
        <w:r>
          <w:rPr>
            <w:color w:val="2205FC"/>
            <w:u w:val="single" w:color="2205FC"/>
          </w:rPr>
          <w:t>Lei nº 14133/2021, Art. 59.</w:t>
        </w:r>
      </w:hyperlink>
    </w:p>
    <w:p w14:paraId="7AB87B01" w14:textId="77777777" w:rsidR="00EC412A" w:rsidRDefault="00000000">
      <w:pPr>
        <w:spacing w:after="167" w:line="265" w:lineRule="auto"/>
        <w:ind w:left="35" w:right="0"/>
        <w:jc w:val="left"/>
      </w:pPr>
      <w:hyperlink r:id="rId13">
        <w:r>
          <w:rPr>
            <w:color w:val="2205FC"/>
            <w:u w:val="single" w:color="2205FC"/>
          </w:rPr>
          <w:t>Lei nº 14133/2021, Art. 59, § 4º.</w:t>
        </w:r>
      </w:hyperlink>
    </w:p>
    <w:p w14:paraId="1253D558" w14:textId="77777777" w:rsidR="00EC412A" w:rsidRDefault="00000000">
      <w:pPr>
        <w:spacing w:after="167" w:line="265" w:lineRule="auto"/>
        <w:ind w:left="35" w:right="0"/>
        <w:jc w:val="left"/>
      </w:pPr>
      <w:hyperlink r:id="rId14">
        <w:r>
          <w:rPr>
            <w:color w:val="2205FC"/>
            <w:u w:val="single" w:color="2205FC"/>
          </w:rPr>
          <w:t>Lei nº 14133/2021, Art. 23, § 2º, I.</w:t>
        </w:r>
      </w:hyperlink>
    </w:p>
    <w:p w14:paraId="352C4DBD" w14:textId="77777777" w:rsidR="00EC412A" w:rsidRDefault="00000000">
      <w:pPr>
        <w:spacing w:after="7"/>
        <w:ind w:left="15" w:right="8"/>
      </w:pPr>
      <w:r>
        <w:rPr>
          <w:b/>
        </w:rPr>
        <w:t>REPRESENTAÇÃO. SECRETARIA DE ESTADO DE EDUCAÇÃO DO DISTRITO FEDERAL. SUPOSTA</w:t>
      </w:r>
    </w:p>
    <w:p w14:paraId="7FAF0B0C" w14:textId="77777777" w:rsidR="00EC412A" w:rsidRDefault="00000000">
      <w:pPr>
        <w:spacing w:after="0"/>
        <w:ind w:left="15" w:right="8"/>
      </w:pPr>
      <w:r>
        <w:rPr>
          <w:b/>
        </w:rPr>
        <w:t>IRREGULARIDADE NA CONDUÇÃO DO PREGÃO ELETRÔNICO POR SRP N.º 25/2023. FALHA EVIDENCIADA. ALTERAÇÃO DOS VALORES MÁXIMOS ESTIMADOS. AUSÊNCIA DE PUBLICAÇÃO DO NOVO EDITAL.</w:t>
      </w:r>
    </w:p>
    <w:p w14:paraId="7947BED2" w14:textId="77777777" w:rsidR="00EC412A" w:rsidRDefault="00000000">
      <w:pPr>
        <w:spacing w:after="0"/>
        <w:ind w:left="15" w:right="8"/>
      </w:pPr>
      <w:r>
        <w:rPr>
          <w:b/>
        </w:rPr>
        <w:t>AUSÊNCIA DE INTERESSE PÚBLICO NA ANULAÇÃO DO CERTAME. ALEGAÇÃO DE ILEGALIDADE NA HABILITAÇÃO DA LICITANTE VENCEDORA. AUSÊNCIA DE EMBASAMENTO FÁTICO E LEGAL. PROCEDÊNCIA PARCIAL DA REPRESENTAÇÃO. EMISSÃO DE ALERTA À JURIDICIONADA. OBSERVÂNCIA DO ART. 55, § 1º, DA</w:t>
      </w:r>
    </w:p>
    <w:p w14:paraId="50707B0B" w14:textId="77777777" w:rsidR="00EC412A" w:rsidRDefault="00000000">
      <w:pPr>
        <w:spacing w:after="158"/>
        <w:ind w:left="15" w:right="8"/>
      </w:pPr>
      <w:r>
        <w:rPr>
          <w:b/>
        </w:rPr>
        <w:t>LEI N.º 14.133/21.</w:t>
      </w:r>
    </w:p>
    <w:p w14:paraId="062D3F79" w14:textId="77777777" w:rsidR="00EC412A" w:rsidRDefault="00000000">
      <w:pPr>
        <w:spacing w:after="169"/>
        <w:ind w:left="15" w:right="8"/>
      </w:pPr>
      <w:r>
        <w:t>Não obstante o art. 55, § 1º, da Lei n.º 14.133/21, preveja a necessidade de nova divulgação do edital em casos de modificações no instrumento convocatório, exceto quando a alteração não comprometer a formulação das propostas, a eventual anulação de certame por infringência deve observar os ditames previstos no art. 21 da Lei de Introdução às Normas do Direito Brasileiro - LINDB, atentando-se ao princípio do interesse público, sendo indesejável a realização de outro certame quando isso demandar gastos que superariam os possíveis benefícios de uma contratação, em tese, mais vantajosa em razão de um suposto aumento da competitividade.</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EC412A" w14:paraId="15B103E4" w14:textId="77777777">
        <w:trPr>
          <w:trHeight w:val="865"/>
        </w:trPr>
        <w:tc>
          <w:tcPr>
            <w:tcW w:w="5080" w:type="dxa"/>
            <w:tcBorders>
              <w:top w:val="nil"/>
              <w:left w:val="nil"/>
              <w:bottom w:val="nil"/>
              <w:right w:val="nil"/>
            </w:tcBorders>
          </w:tcPr>
          <w:p w14:paraId="10E8BCB5" w14:textId="77777777" w:rsidR="00EC412A" w:rsidRDefault="00000000">
            <w:pPr>
              <w:spacing w:after="52" w:line="259" w:lineRule="auto"/>
              <w:ind w:left="0" w:right="0" w:firstLine="0"/>
              <w:jc w:val="left"/>
            </w:pPr>
            <w:r>
              <w:rPr>
                <w:b/>
              </w:rPr>
              <w:t>Relator:</w:t>
            </w:r>
          </w:p>
          <w:p w14:paraId="4B9C24A0" w14:textId="77777777" w:rsidR="00EC412A" w:rsidRDefault="00000000">
            <w:pPr>
              <w:spacing w:after="132" w:line="259" w:lineRule="auto"/>
              <w:ind w:left="0" w:right="0" w:firstLine="0"/>
              <w:jc w:val="left"/>
            </w:pPr>
            <w:r>
              <w:rPr>
                <w:b/>
              </w:rPr>
              <w:t>André Clemente Lara De Oliveira</w:t>
            </w:r>
          </w:p>
          <w:p w14:paraId="4035E2CB" w14:textId="77777777" w:rsidR="00EC412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6E4A6953" w14:textId="77777777" w:rsidR="00EC412A" w:rsidRDefault="00000000">
            <w:pPr>
              <w:spacing w:after="52" w:line="259" w:lineRule="auto"/>
              <w:ind w:left="0" w:right="0" w:firstLine="0"/>
              <w:jc w:val="left"/>
            </w:pPr>
            <w:r>
              <w:rPr>
                <w:b/>
              </w:rPr>
              <w:t>Sessão:</w:t>
            </w:r>
          </w:p>
          <w:p w14:paraId="37B77E5A" w14:textId="77777777" w:rsidR="00EC412A" w:rsidRDefault="00000000">
            <w:pPr>
              <w:spacing w:after="132" w:line="259" w:lineRule="auto"/>
              <w:ind w:left="0" w:right="0" w:firstLine="0"/>
              <w:jc w:val="left"/>
            </w:pPr>
            <w:r>
              <w:rPr>
                <w:b/>
              </w:rPr>
              <w:t>ORDINÁRIA nº 5390, de 07/08/2024.</w:t>
            </w:r>
          </w:p>
          <w:p w14:paraId="15771D70" w14:textId="77777777" w:rsidR="00EC412A" w:rsidRDefault="00000000">
            <w:pPr>
              <w:spacing w:after="0" w:line="259" w:lineRule="auto"/>
              <w:ind w:left="0" w:right="0" w:firstLine="0"/>
            </w:pPr>
            <w:hyperlink r:id="rId15">
              <w:r>
                <w:rPr>
                  <w:color w:val="2205FC"/>
                  <w:u w:val="single" w:color="2205FC"/>
                </w:rPr>
                <w:t>Proc. nº 7513/2023 - Dec. nº 2957/2024</w:t>
              </w:r>
            </w:hyperlink>
          </w:p>
        </w:tc>
      </w:tr>
    </w:tbl>
    <w:tbl>
      <w:tblPr>
        <w:tblStyle w:val="TableGrid"/>
        <w:tblpPr w:vertAnchor="page" w:horzAnchor="page" w:tblpX="100" w:tblpY="27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684A94B5" w14:textId="77777777">
        <w:trPr>
          <w:trHeight w:val="400"/>
        </w:trPr>
        <w:tc>
          <w:tcPr>
            <w:tcW w:w="500" w:type="dxa"/>
            <w:tcBorders>
              <w:top w:val="nil"/>
              <w:left w:val="nil"/>
              <w:bottom w:val="nil"/>
              <w:right w:val="nil"/>
            </w:tcBorders>
            <w:shd w:val="clear" w:color="auto" w:fill="01447F"/>
          </w:tcPr>
          <w:p w14:paraId="42EF1021" w14:textId="77777777" w:rsidR="00EC412A" w:rsidRDefault="00000000">
            <w:pPr>
              <w:spacing w:after="0" w:line="259" w:lineRule="auto"/>
              <w:ind w:left="0" w:right="0" w:firstLine="0"/>
              <w:jc w:val="left"/>
            </w:pPr>
            <w:r>
              <w:rPr>
                <w:b/>
                <w:color w:val="FFFFFF"/>
                <w:sz w:val="28"/>
              </w:rPr>
              <w:t>2</w:t>
            </w:r>
          </w:p>
        </w:tc>
      </w:tr>
    </w:tbl>
    <w:tbl>
      <w:tblPr>
        <w:tblStyle w:val="TableGrid"/>
        <w:tblpPr w:vertAnchor="page" w:horzAnchor="page" w:tblpX="100" w:tblpY="892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487F1EB7" w14:textId="77777777">
        <w:trPr>
          <w:trHeight w:val="400"/>
        </w:trPr>
        <w:tc>
          <w:tcPr>
            <w:tcW w:w="500" w:type="dxa"/>
            <w:tcBorders>
              <w:top w:val="nil"/>
              <w:left w:val="nil"/>
              <w:bottom w:val="nil"/>
              <w:right w:val="nil"/>
            </w:tcBorders>
            <w:shd w:val="clear" w:color="auto" w:fill="01447F"/>
          </w:tcPr>
          <w:p w14:paraId="1037D1FA" w14:textId="77777777" w:rsidR="00EC412A" w:rsidRDefault="00000000">
            <w:pPr>
              <w:spacing w:after="0" w:line="259" w:lineRule="auto"/>
              <w:ind w:left="0" w:right="0" w:firstLine="0"/>
              <w:jc w:val="left"/>
            </w:pPr>
            <w:r>
              <w:rPr>
                <w:b/>
                <w:color w:val="FFFFFF"/>
                <w:sz w:val="28"/>
              </w:rPr>
              <w:t>3</w:t>
            </w:r>
          </w:p>
        </w:tc>
      </w:tr>
    </w:tbl>
    <w:p w14:paraId="4FCA237A" w14:textId="77777777" w:rsidR="00EC412A" w:rsidRDefault="00000000">
      <w:pPr>
        <w:spacing w:after="158"/>
        <w:ind w:left="15" w:right="8"/>
      </w:pPr>
      <w:r>
        <w:rPr>
          <w:b/>
        </w:rPr>
        <w:t>Legislação relacionada:</w:t>
      </w:r>
    </w:p>
    <w:p w14:paraId="18BFE6B9" w14:textId="77777777" w:rsidR="00EC412A" w:rsidRDefault="00000000">
      <w:pPr>
        <w:spacing w:after="167" w:line="265" w:lineRule="auto"/>
        <w:ind w:left="35" w:right="0"/>
        <w:jc w:val="left"/>
      </w:pPr>
      <w:hyperlink r:id="rId16">
        <w:r>
          <w:rPr>
            <w:color w:val="2205FC"/>
            <w:u w:val="single" w:color="2205FC"/>
          </w:rPr>
          <w:t>Lei nº 13655/2018, Art. 21.</w:t>
        </w:r>
      </w:hyperlink>
    </w:p>
    <w:p w14:paraId="15031429" w14:textId="77777777" w:rsidR="00EC412A" w:rsidRDefault="00000000">
      <w:pPr>
        <w:spacing w:after="167" w:line="265" w:lineRule="auto"/>
        <w:ind w:left="35" w:right="0"/>
        <w:jc w:val="left"/>
      </w:pPr>
      <w:hyperlink r:id="rId17">
        <w:r>
          <w:rPr>
            <w:color w:val="2205FC"/>
            <w:u w:val="single" w:color="2205FC"/>
          </w:rPr>
          <w:t>Lei nº 14133/2021, Art. 55, § 1º.</w:t>
        </w:r>
      </w:hyperlink>
    </w:p>
    <w:p w14:paraId="32293147" w14:textId="77777777" w:rsidR="00EC412A" w:rsidRDefault="00000000">
      <w:pPr>
        <w:spacing w:after="158"/>
        <w:ind w:left="15" w:right="8"/>
      </w:pPr>
      <w:r>
        <w:rPr>
          <w:b/>
        </w:rPr>
        <w:t>PARCERIA. SECRETARIA DE ESTADO DE ECONOMIA DO DISTRITO FEDERAL (SEEC). REPRESENTAÇÃO. MARCO REGULATÓRIO DAS ORGANIZAÇÕES DA SOCIEDADE CIVIL (MROSC). PUBLICIDADE. TRANSPARÊNCIA. VIOLAÇÃO. PROCEDÊNCIA PARCIAL. DETERMINAÇÃO. PRAZO.</w:t>
      </w:r>
    </w:p>
    <w:p w14:paraId="71543619" w14:textId="77777777" w:rsidR="00EC412A" w:rsidRDefault="00000000">
      <w:pPr>
        <w:numPr>
          <w:ilvl w:val="0"/>
          <w:numId w:val="1"/>
        </w:numPr>
        <w:ind w:right="8"/>
      </w:pPr>
      <w:r>
        <w:t>É dever dos órgãos e entidades que firmem parcerias com base no MROSC disponibilizar as informações exigidaspelo diploma legal para fins de publicidade e transparência, independentemente de sua publicação de plataforma centralizada do Governo do Distrito Federal (Lei Federal n° 13.019/2014, arts. 10 e 11).</w:t>
      </w:r>
    </w:p>
    <w:p w14:paraId="46AC5DF5" w14:textId="77777777" w:rsidR="00EC412A" w:rsidRDefault="00000000">
      <w:pPr>
        <w:numPr>
          <w:ilvl w:val="0"/>
          <w:numId w:val="1"/>
        </w:numPr>
        <w:ind w:right="8"/>
      </w:pPr>
      <w:r>
        <w:t>É dever dos órgãos e entidades distritais assegurar o cumprimento, pelas organizações da sociedade civil com asquais celebrem parcerias com base no MROSC, do disposto no art. 11 da Lei Federal n° 13.019/2014 e dos arts. 79 e 80 do Decreto Distrital n° 37.843/2016, aplicando-lhes as penalidades cabíveis em caso de não atendimento.</w:t>
      </w:r>
    </w:p>
    <w:p w14:paraId="5D9D6A07" w14:textId="77777777" w:rsidR="00EC412A" w:rsidRDefault="00000000">
      <w:pPr>
        <w:numPr>
          <w:ilvl w:val="0"/>
          <w:numId w:val="1"/>
        </w:numPr>
        <w:spacing w:after="612"/>
        <w:ind w:right="8"/>
      </w:pPr>
      <w:r>
        <w:t>O não atendimento a determinação do Tribunal de Contas exarada com vista ao correto cumprimento da lei enseja aaplicação da multa prevista no art. 57, § 1°, da Lei Complementar Distrital n° 1/1994, c/c art. 272, VII, da Resolução TCDF n° 296/2016 (Regimento Interno do Tribunal).</w:t>
      </w:r>
    </w:p>
    <w:p w14:paraId="7AF96934" w14:textId="77777777" w:rsidR="00EC412A" w:rsidRDefault="00000000">
      <w:pPr>
        <w:tabs>
          <w:tab w:val="center" w:pos="5484"/>
        </w:tabs>
        <w:spacing w:after="85"/>
        <w:ind w:left="0" w:right="0" w:firstLine="0"/>
        <w:jc w:val="left"/>
      </w:pPr>
      <w:r>
        <w:rPr>
          <w:b/>
        </w:rPr>
        <w:t>Relator:</w:t>
      </w:r>
      <w:r>
        <w:rPr>
          <w:b/>
        </w:rPr>
        <w:tab/>
        <w:t>Sessão:</w:t>
      </w:r>
    </w:p>
    <w:p w14:paraId="4D45E7DA" w14:textId="77777777" w:rsidR="00EC412A" w:rsidRDefault="00000000">
      <w:pPr>
        <w:spacing w:after="100" w:line="425" w:lineRule="auto"/>
        <w:ind w:left="15" w:right="1635"/>
      </w:pPr>
      <w:r>
        <w:rPr>
          <w:b/>
        </w:rPr>
        <w:t>Antonio Renato Alves Rainha</w:t>
      </w:r>
      <w:r>
        <w:rPr>
          <w:b/>
        </w:rPr>
        <w:tab/>
        <w:t>ORDINÁRIA nº 5394, de 04/09/2024. Decisão por unanimidade</w:t>
      </w:r>
      <w:r>
        <w:rPr>
          <w:b/>
        </w:rPr>
        <w:tab/>
      </w:r>
      <w:hyperlink r:id="rId18">
        <w:r>
          <w:rPr>
            <w:color w:val="2205FC"/>
            <w:u w:val="single" w:color="2205FC"/>
          </w:rPr>
          <w:t>Proc. nº 12588/2023 - Dec. nº 3360/2024</w:t>
        </w:r>
      </w:hyperlink>
    </w:p>
    <w:p w14:paraId="0DDC68B2" w14:textId="77777777" w:rsidR="00EC412A" w:rsidRDefault="00000000">
      <w:pPr>
        <w:spacing w:after="158"/>
        <w:ind w:left="15" w:right="8"/>
      </w:pPr>
      <w:r>
        <w:rPr>
          <w:b/>
        </w:rPr>
        <w:t>Decisões relacionadas:</w:t>
      </w:r>
    </w:p>
    <w:p w14:paraId="5BA9279D" w14:textId="77777777" w:rsidR="00EC412A" w:rsidRDefault="00000000">
      <w:pPr>
        <w:spacing w:after="167" w:line="265" w:lineRule="auto"/>
        <w:ind w:left="35" w:right="0"/>
        <w:jc w:val="left"/>
      </w:pPr>
      <w:hyperlink r:id="rId19">
        <w:r>
          <w:rPr>
            <w:color w:val="2205FC"/>
            <w:u w:val="single" w:color="2205FC"/>
          </w:rPr>
          <w:t>TCDF: Decisão nº 2682/2021</w:t>
        </w:r>
      </w:hyperlink>
    </w:p>
    <w:p w14:paraId="03619FA9" w14:textId="77777777" w:rsidR="00EC412A" w:rsidRDefault="00000000">
      <w:pPr>
        <w:spacing w:after="167" w:line="265" w:lineRule="auto"/>
        <w:ind w:left="35" w:right="0"/>
        <w:jc w:val="left"/>
      </w:pPr>
      <w:hyperlink r:id="rId20">
        <w:r>
          <w:rPr>
            <w:color w:val="2205FC"/>
            <w:u w:val="single" w:color="2205FC"/>
          </w:rPr>
          <w:t>TCDF: Decisão nº 127/2022</w:t>
        </w:r>
      </w:hyperlink>
    </w:p>
    <w:p w14:paraId="5336BFE7" w14:textId="77777777" w:rsidR="00EC412A" w:rsidRDefault="00000000">
      <w:pPr>
        <w:spacing w:after="167" w:line="265" w:lineRule="auto"/>
        <w:ind w:left="35" w:right="0"/>
        <w:jc w:val="left"/>
      </w:pPr>
      <w:hyperlink r:id="rId21">
        <w:r>
          <w:rPr>
            <w:color w:val="2205FC"/>
            <w:u w:val="single" w:color="2205FC"/>
          </w:rPr>
          <w:t>TCDF: Decisão nº 3599/2022</w:t>
        </w:r>
      </w:hyperlink>
    </w:p>
    <w:p w14:paraId="766CF2E2" w14:textId="77777777" w:rsidR="00EC412A" w:rsidRDefault="00000000">
      <w:pPr>
        <w:spacing w:after="167" w:line="265" w:lineRule="auto"/>
        <w:ind w:left="35" w:right="0"/>
        <w:jc w:val="left"/>
      </w:pPr>
      <w:hyperlink r:id="rId22">
        <w:r>
          <w:rPr>
            <w:color w:val="2205FC"/>
            <w:u w:val="single" w:color="2205FC"/>
          </w:rPr>
          <w:t>TCDF: Decisão nº 1067/2023</w:t>
        </w:r>
      </w:hyperlink>
    </w:p>
    <w:p w14:paraId="4CAEAC81" w14:textId="77777777" w:rsidR="00EC412A" w:rsidRDefault="00000000">
      <w:pPr>
        <w:spacing w:after="167" w:line="265" w:lineRule="auto"/>
        <w:ind w:left="35" w:right="0"/>
        <w:jc w:val="left"/>
      </w:pPr>
      <w:hyperlink r:id="rId23">
        <w:r>
          <w:rPr>
            <w:color w:val="2205FC"/>
            <w:u w:val="single" w:color="2205FC"/>
          </w:rPr>
          <w:t>TCDF: Decisão nº 599/2024</w:t>
        </w:r>
      </w:hyperlink>
    </w:p>
    <w:p w14:paraId="641CB9FC" w14:textId="77777777" w:rsidR="00EC412A" w:rsidRDefault="00000000">
      <w:pPr>
        <w:spacing w:after="167" w:line="265" w:lineRule="auto"/>
        <w:ind w:left="35" w:right="0"/>
        <w:jc w:val="left"/>
      </w:pPr>
      <w:hyperlink r:id="rId24">
        <w:r>
          <w:rPr>
            <w:color w:val="2205FC"/>
            <w:u w:val="single" w:color="2205FC"/>
          </w:rPr>
          <w:t>TCDF: Decisão nº 1877/2015</w:t>
        </w:r>
      </w:hyperlink>
    </w:p>
    <w:p w14:paraId="3D17F2AE" w14:textId="77777777" w:rsidR="00EC412A" w:rsidRDefault="00000000">
      <w:pPr>
        <w:spacing w:after="327" w:line="265" w:lineRule="auto"/>
        <w:ind w:left="35" w:right="0"/>
        <w:jc w:val="left"/>
      </w:pPr>
      <w:hyperlink r:id="rId25">
        <w:r>
          <w:rPr>
            <w:color w:val="2205FC"/>
            <w:u w:val="single" w:color="2205FC"/>
          </w:rPr>
          <w:t>TCDF: Decisão nº 4328/2018</w:t>
        </w:r>
      </w:hyperlink>
    </w:p>
    <w:p w14:paraId="5AC5D9E5" w14:textId="77777777" w:rsidR="00EC412A" w:rsidRDefault="00000000">
      <w:pPr>
        <w:spacing w:after="158"/>
        <w:ind w:left="15" w:right="8"/>
      </w:pPr>
      <w:r>
        <w:rPr>
          <w:b/>
        </w:rPr>
        <w:t>Legislação relacionada:</w:t>
      </w:r>
    </w:p>
    <w:p w14:paraId="73451A7A" w14:textId="77777777" w:rsidR="00EC412A" w:rsidRDefault="00000000">
      <w:pPr>
        <w:spacing w:after="167" w:line="265" w:lineRule="auto"/>
        <w:ind w:left="35" w:right="0"/>
        <w:jc w:val="left"/>
      </w:pPr>
      <w:hyperlink r:id="rId26">
        <w:r>
          <w:rPr>
            <w:color w:val="2205FC"/>
            <w:u w:val="single" w:color="2205FC"/>
          </w:rPr>
          <w:t>Lei nº 13019/2014.</w:t>
        </w:r>
      </w:hyperlink>
    </w:p>
    <w:p w14:paraId="3D15B6ED" w14:textId="77777777" w:rsidR="00EC412A" w:rsidRDefault="00000000">
      <w:pPr>
        <w:spacing w:after="167" w:line="265" w:lineRule="auto"/>
        <w:ind w:left="35" w:right="0"/>
        <w:jc w:val="left"/>
      </w:pPr>
      <w:hyperlink r:id="rId27">
        <w:r>
          <w:rPr>
            <w:color w:val="2205FC"/>
            <w:u w:val="single" w:color="2205FC"/>
          </w:rPr>
          <w:t>Decreto nº 37843/2016</w:t>
        </w:r>
      </w:hyperlink>
    </w:p>
    <w:p w14:paraId="05177EA3" w14:textId="77777777" w:rsidR="00EC412A" w:rsidRDefault="00000000">
      <w:pPr>
        <w:spacing w:after="7"/>
        <w:ind w:left="15" w:right="8"/>
      </w:pPr>
      <w:r>
        <w:rPr>
          <w:b/>
        </w:rPr>
        <w:t>CONTAS. SECRETARIA DE ESTADO DE SAÚDE DO DISTRITO FEDERAL - SES/DF. TOMADA DE CONTAS</w:t>
      </w:r>
    </w:p>
    <w:p w14:paraId="7161F333" w14:textId="77777777" w:rsidR="00EC412A" w:rsidRDefault="00000000">
      <w:pPr>
        <w:spacing w:after="0"/>
        <w:ind w:left="15" w:right="8"/>
      </w:pPr>
      <w:r>
        <w:rPr>
          <w:b/>
        </w:rPr>
        <w:t>ESPECIAL. INSTITUTO DE GESTÃO ESTRATÉGICA DE SAÚDE DO DISTRITO FEDERAL - IGESDF. SOBREPREÇO. ITENS INDIVIDUAIS. COMPRA. SUBPREÇO. COMPENSAÇÃO. IMPOSSIBILIDADE.</w:t>
      </w:r>
    </w:p>
    <w:p w14:paraId="55BBF060" w14:textId="77777777" w:rsidR="00EC412A" w:rsidRDefault="00000000">
      <w:pPr>
        <w:spacing w:after="409"/>
        <w:ind w:left="15" w:right="8"/>
      </w:pPr>
      <w:r>
        <w:rPr>
          <w:b/>
        </w:rPr>
        <w:t>DESMEMBRAMENTO. RITO SUMARÍSSIMO. POSSIBILIDADE. SOBREPREÇO. DÉBITO. EMPRESA CONTRATADA. RESPONSÁVEL. GESTOR PÚBLICO. SOLIDARIAMENTE. DOLO. LOCUPLETAMENTO.</w:t>
      </w:r>
    </w:p>
    <w:p w14:paraId="26016EAA" w14:textId="77777777" w:rsidR="00EC412A" w:rsidRDefault="00000000">
      <w:pPr>
        <w:numPr>
          <w:ilvl w:val="0"/>
          <w:numId w:val="2"/>
        </w:numPr>
        <w:ind w:right="8"/>
      </w:pPr>
      <w:r>
        <w:t xml:space="preserve">Em contratações de itens independentemente considerados, não é possível a compensação, no cálculo do </w:t>
      </w:r>
      <w:proofErr w:type="gramStart"/>
      <w:r>
        <w:t>débito,entre</w:t>
      </w:r>
      <w:proofErr w:type="gramEnd"/>
      <w:r>
        <w:t xml:space="preserve"> itens com sobrepreço e com subpreço, com base na definição do art. 6º, inciso LVI, da Lei Federal nº 14.133/2021.</w:t>
      </w:r>
    </w:p>
    <w:p w14:paraId="1FFF36CB" w14:textId="77777777" w:rsidR="00EC412A" w:rsidRDefault="00000000">
      <w:pPr>
        <w:numPr>
          <w:ilvl w:val="0"/>
          <w:numId w:val="2"/>
        </w:numPr>
        <w:ind w:right="8"/>
      </w:pPr>
      <w:r>
        <w:t>Desmembrada Tomada de Contas Especial, os ritos a serem adotados deverão considerar os elementos fáticos decada um dos novos feitos, salvo se as circunstâncias demandarem identidade de rito.</w:t>
      </w:r>
    </w:p>
    <w:tbl>
      <w:tblPr>
        <w:tblStyle w:val="TableGrid"/>
        <w:tblpPr w:vertAnchor="page" w:horzAnchor="page" w:tblpX="100" w:tblpY="382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35B87872" w14:textId="77777777">
        <w:trPr>
          <w:trHeight w:val="400"/>
        </w:trPr>
        <w:tc>
          <w:tcPr>
            <w:tcW w:w="500" w:type="dxa"/>
            <w:tcBorders>
              <w:top w:val="nil"/>
              <w:left w:val="nil"/>
              <w:bottom w:val="nil"/>
              <w:right w:val="nil"/>
            </w:tcBorders>
            <w:shd w:val="clear" w:color="auto" w:fill="01447F"/>
          </w:tcPr>
          <w:p w14:paraId="1CE5C4B8" w14:textId="77777777" w:rsidR="00EC412A" w:rsidRDefault="00000000">
            <w:pPr>
              <w:spacing w:after="0" w:line="259" w:lineRule="auto"/>
              <w:ind w:left="0" w:right="0" w:firstLine="0"/>
              <w:jc w:val="left"/>
            </w:pPr>
            <w:r>
              <w:rPr>
                <w:b/>
                <w:color w:val="FFFFFF"/>
                <w:sz w:val="28"/>
              </w:rPr>
              <w:t>4</w:t>
            </w:r>
          </w:p>
        </w:tc>
      </w:tr>
    </w:tbl>
    <w:tbl>
      <w:tblPr>
        <w:tblStyle w:val="TableGrid"/>
        <w:tblpPr w:vertAnchor="page" w:horzAnchor="page" w:tblpX="100" w:tblpY="124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4E48C9FD" w14:textId="77777777">
        <w:trPr>
          <w:trHeight w:val="400"/>
        </w:trPr>
        <w:tc>
          <w:tcPr>
            <w:tcW w:w="500" w:type="dxa"/>
            <w:tcBorders>
              <w:top w:val="nil"/>
              <w:left w:val="nil"/>
              <w:bottom w:val="nil"/>
              <w:right w:val="nil"/>
            </w:tcBorders>
            <w:shd w:val="clear" w:color="auto" w:fill="01447F"/>
          </w:tcPr>
          <w:p w14:paraId="00F190B3" w14:textId="77777777" w:rsidR="00EC412A" w:rsidRDefault="00000000">
            <w:pPr>
              <w:spacing w:after="0" w:line="259" w:lineRule="auto"/>
              <w:ind w:left="0" w:right="0" w:firstLine="0"/>
              <w:jc w:val="left"/>
            </w:pPr>
            <w:r>
              <w:rPr>
                <w:b/>
                <w:color w:val="FFFFFF"/>
                <w:sz w:val="28"/>
              </w:rPr>
              <w:t>5</w:t>
            </w:r>
          </w:p>
        </w:tc>
      </w:tr>
    </w:tbl>
    <w:p w14:paraId="5979DA22" w14:textId="77777777" w:rsidR="00EC412A" w:rsidRDefault="00000000">
      <w:pPr>
        <w:numPr>
          <w:ilvl w:val="0"/>
          <w:numId w:val="2"/>
        </w:numPr>
        <w:spacing w:after="377"/>
        <w:ind w:right="8"/>
      </w:pPr>
      <w:r>
        <w:t>Em caso de débito decorrente de superfaturamento por sobrepreço, o responsável pelo débito é a sociedadeempresária contratada, de forma que o gestor público será responsabilizado solidariamente pelo débito se houver dolo ou locupletamento. Precedentes (Decisão nº 2290/2024).</w:t>
      </w:r>
    </w:p>
    <w:p w14:paraId="32B22CE2" w14:textId="77777777" w:rsidR="00EC412A" w:rsidRDefault="00000000">
      <w:pPr>
        <w:tabs>
          <w:tab w:val="center" w:pos="5484"/>
        </w:tabs>
        <w:spacing w:after="85"/>
        <w:ind w:left="0" w:right="0" w:firstLine="0"/>
        <w:jc w:val="left"/>
      </w:pPr>
      <w:r>
        <w:rPr>
          <w:b/>
        </w:rPr>
        <w:t>Relator:</w:t>
      </w:r>
      <w:r>
        <w:rPr>
          <w:b/>
        </w:rPr>
        <w:tab/>
        <w:t>Sessão:</w:t>
      </w:r>
    </w:p>
    <w:p w14:paraId="7870AE78" w14:textId="77777777" w:rsidR="00EC412A" w:rsidRDefault="00000000">
      <w:pPr>
        <w:spacing w:after="100" w:line="425" w:lineRule="auto"/>
        <w:ind w:left="15" w:right="1635"/>
      </w:pPr>
      <w:r>
        <w:rPr>
          <w:b/>
        </w:rPr>
        <w:t>Vinícius Cardoso De Pinho Fragoso</w:t>
      </w:r>
      <w:r>
        <w:rPr>
          <w:b/>
        </w:rPr>
        <w:tab/>
        <w:t>ORDINÁRIA nº 5396, de 18/09/2024. Decisão por unanimidade</w:t>
      </w:r>
      <w:r>
        <w:rPr>
          <w:b/>
        </w:rPr>
        <w:tab/>
      </w:r>
      <w:hyperlink r:id="rId28">
        <w:r>
          <w:rPr>
            <w:color w:val="2205FC"/>
            <w:u w:val="single" w:color="2205FC"/>
          </w:rPr>
          <w:t>Proc. nº 10103/2023 - Dec. nº 3540/2024</w:t>
        </w:r>
      </w:hyperlink>
    </w:p>
    <w:p w14:paraId="15E21FAB" w14:textId="77777777" w:rsidR="00EC412A" w:rsidRDefault="00000000">
      <w:pPr>
        <w:spacing w:after="100" w:line="417" w:lineRule="auto"/>
        <w:ind w:left="35" w:right="8031"/>
        <w:jc w:val="left"/>
      </w:pPr>
      <w:r>
        <w:rPr>
          <w:b/>
        </w:rPr>
        <w:t xml:space="preserve">Decisões relacionadas: </w:t>
      </w:r>
      <w:hyperlink r:id="rId29">
        <w:r>
          <w:rPr>
            <w:color w:val="2205FC"/>
            <w:u w:val="single" w:color="2205FC"/>
          </w:rPr>
          <w:t>TCDF: Decisão nº 2290/2024</w:t>
        </w:r>
      </w:hyperlink>
    </w:p>
    <w:p w14:paraId="1EE59028" w14:textId="77777777" w:rsidR="00EC412A" w:rsidRDefault="00000000">
      <w:pPr>
        <w:spacing w:after="158"/>
        <w:ind w:left="15" w:right="8"/>
      </w:pPr>
      <w:r>
        <w:rPr>
          <w:b/>
        </w:rPr>
        <w:t>Precedentes externos:</w:t>
      </w:r>
    </w:p>
    <w:p w14:paraId="67D80860" w14:textId="77777777" w:rsidR="00EC412A" w:rsidRDefault="00000000">
      <w:pPr>
        <w:spacing w:after="167" w:line="265" w:lineRule="auto"/>
        <w:ind w:left="35" w:right="0"/>
        <w:jc w:val="left"/>
      </w:pPr>
      <w:hyperlink r:id="rId30">
        <w:r>
          <w:rPr>
            <w:color w:val="2205FC"/>
            <w:u w:val="single" w:color="2205FC"/>
          </w:rPr>
          <w:t>Decisão TCU nº Súmula 247</w:t>
        </w:r>
      </w:hyperlink>
    </w:p>
    <w:p w14:paraId="65C62D67" w14:textId="77777777" w:rsidR="00EC412A" w:rsidRDefault="00000000">
      <w:pPr>
        <w:spacing w:after="227" w:line="265" w:lineRule="auto"/>
        <w:ind w:left="35" w:right="0"/>
        <w:jc w:val="left"/>
      </w:pPr>
      <w:hyperlink r:id="rId31">
        <w:r>
          <w:rPr>
            <w:color w:val="2205FC"/>
            <w:u w:val="single" w:color="2205FC"/>
          </w:rPr>
          <w:t>Decisão TCU nº Acórdão 1435/2024 - Plenário</w:t>
        </w:r>
      </w:hyperlink>
    </w:p>
    <w:p w14:paraId="7EC8C326" w14:textId="77777777" w:rsidR="00EC412A" w:rsidRDefault="00000000">
      <w:pPr>
        <w:spacing w:after="158"/>
        <w:ind w:left="15" w:right="8"/>
      </w:pPr>
      <w:r>
        <w:rPr>
          <w:b/>
        </w:rPr>
        <w:t>Legislação relacionada:</w:t>
      </w:r>
    </w:p>
    <w:p w14:paraId="76F376DF" w14:textId="77777777" w:rsidR="00EC412A" w:rsidRDefault="00000000">
      <w:pPr>
        <w:spacing w:after="167" w:line="265" w:lineRule="auto"/>
        <w:ind w:left="35" w:right="0"/>
        <w:jc w:val="left"/>
      </w:pPr>
      <w:hyperlink r:id="rId32">
        <w:r>
          <w:rPr>
            <w:color w:val="2205FC"/>
            <w:u w:val="single" w:color="2205FC"/>
          </w:rPr>
          <w:t>Lei nº 14133/2021, Art. 6º, LVI.</w:t>
        </w:r>
      </w:hyperlink>
    </w:p>
    <w:p w14:paraId="752442C4" w14:textId="77777777" w:rsidR="00EC412A" w:rsidRDefault="00000000">
      <w:pPr>
        <w:spacing w:after="167" w:line="265" w:lineRule="auto"/>
        <w:ind w:left="35" w:right="0"/>
        <w:jc w:val="left"/>
      </w:pPr>
      <w:hyperlink r:id="rId33">
        <w:r>
          <w:rPr>
            <w:color w:val="2205FC"/>
            <w:u w:val="single" w:color="2205FC"/>
          </w:rPr>
          <w:t>Lei Complementar nº 1/1994, Art. 17, III.</w:t>
        </w:r>
      </w:hyperlink>
    </w:p>
    <w:p w14:paraId="0B225FDA" w14:textId="77777777" w:rsidR="00EC412A" w:rsidRDefault="00000000">
      <w:pPr>
        <w:spacing w:after="189"/>
        <w:ind w:left="15" w:right="8"/>
      </w:pPr>
      <w:r>
        <w:rPr>
          <w:b/>
        </w:rPr>
        <w:t>LICITAÇÃO. COMPANHIA URBANIZADORA DA NOVA CAPITAL DO BRASIL - NOVACAP. CONTRATAÇÃO INTEGRADA. HOSPITAL DO RECANTO DAS EMAS - HRE. SUSPENSÃO CAUTELAR. DETERMINAÇÕES. NOVO EXAME. CONTINUIDADE CONDICIONADA AO CUMPRIMENTO DAS DETERMINAÇÕES. CONTRATO ASSINADO. SOLICITAÇÃO PARA ENVIO DO PROJETO BÁSICO EM ETAPAS. EXECUÇÃO IMEDIATA DO CANTEIRO DE OBRAS. DEFERIMENTO PARCIAL.</w:t>
      </w:r>
    </w:p>
    <w:p w14:paraId="40C3F168" w14:textId="77777777" w:rsidR="00EC412A" w:rsidRDefault="00000000">
      <w:pPr>
        <w:numPr>
          <w:ilvl w:val="0"/>
          <w:numId w:val="3"/>
        </w:numPr>
        <w:ind w:right="8"/>
      </w:pPr>
      <w:r>
        <w:t>A conclusão do projeto básico antecede o início da execução contratual, no regime de contratação integrada, conformearts. 6º, incisos XXV, XXVI e XXXII, e 46, § 3º, da Lei n.º 14.133/21; e arts. 42, incisos VI, VIII e IX, e 43, § 2º, da Lei n.º 13.303/16.</w:t>
      </w:r>
    </w:p>
    <w:p w14:paraId="3810FA00" w14:textId="77777777" w:rsidR="00EC412A" w:rsidRDefault="00000000">
      <w:pPr>
        <w:numPr>
          <w:ilvl w:val="0"/>
          <w:numId w:val="3"/>
        </w:numPr>
        <w:ind w:right="8"/>
      </w:pPr>
      <w:r>
        <w:t>Compete à Administração avaliar e aprovar o projeto básico elaborado pelo contratado, na contratação integrada, naforma do art. 46, § 3º, da Lei n.º 14.133/21, sem prejuízo da competência fiscalizatória e sancionatória desta Corte.</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EC412A" w14:paraId="1E73D5A9" w14:textId="77777777">
        <w:trPr>
          <w:trHeight w:val="865"/>
        </w:trPr>
        <w:tc>
          <w:tcPr>
            <w:tcW w:w="5080" w:type="dxa"/>
            <w:tcBorders>
              <w:top w:val="nil"/>
              <w:left w:val="nil"/>
              <w:bottom w:val="nil"/>
              <w:right w:val="nil"/>
            </w:tcBorders>
          </w:tcPr>
          <w:p w14:paraId="7E5395F5" w14:textId="77777777" w:rsidR="00EC412A" w:rsidRDefault="00000000">
            <w:pPr>
              <w:spacing w:after="52" w:line="259" w:lineRule="auto"/>
              <w:ind w:left="0" w:right="0" w:firstLine="0"/>
              <w:jc w:val="left"/>
            </w:pPr>
            <w:r>
              <w:rPr>
                <w:b/>
              </w:rPr>
              <w:t>Relator:</w:t>
            </w:r>
          </w:p>
          <w:p w14:paraId="67ACCE8A" w14:textId="77777777" w:rsidR="00EC412A" w:rsidRDefault="00000000">
            <w:pPr>
              <w:spacing w:after="132" w:line="259" w:lineRule="auto"/>
              <w:ind w:left="0" w:right="0" w:firstLine="0"/>
              <w:jc w:val="left"/>
            </w:pPr>
            <w:r>
              <w:rPr>
                <w:b/>
              </w:rPr>
              <w:t>André Clemente Lara De Oliveira</w:t>
            </w:r>
          </w:p>
          <w:p w14:paraId="6B7C6BC2" w14:textId="77777777" w:rsidR="00EC412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1F3ED356" w14:textId="77777777" w:rsidR="00EC412A" w:rsidRDefault="00000000">
            <w:pPr>
              <w:spacing w:after="52" w:line="259" w:lineRule="auto"/>
              <w:ind w:left="0" w:right="0" w:firstLine="0"/>
              <w:jc w:val="left"/>
            </w:pPr>
            <w:r>
              <w:rPr>
                <w:b/>
              </w:rPr>
              <w:t>Sessão:</w:t>
            </w:r>
          </w:p>
          <w:p w14:paraId="483E4669" w14:textId="77777777" w:rsidR="00EC412A" w:rsidRDefault="00000000">
            <w:pPr>
              <w:spacing w:after="132" w:line="259" w:lineRule="auto"/>
              <w:ind w:left="0" w:right="0" w:firstLine="0"/>
              <w:jc w:val="left"/>
            </w:pPr>
            <w:r>
              <w:rPr>
                <w:b/>
              </w:rPr>
              <w:t>ORDINÁRIA nº 5398, de 02/10/2024.</w:t>
            </w:r>
          </w:p>
          <w:p w14:paraId="181FFE84" w14:textId="77777777" w:rsidR="00EC412A" w:rsidRDefault="00000000">
            <w:pPr>
              <w:spacing w:after="0" w:line="259" w:lineRule="auto"/>
              <w:ind w:left="0" w:right="0" w:firstLine="0"/>
            </w:pPr>
            <w:hyperlink r:id="rId34">
              <w:r>
                <w:rPr>
                  <w:color w:val="2205FC"/>
                  <w:u w:val="single" w:color="2205FC"/>
                </w:rPr>
                <w:t>Proc. nº 3101/2023 - Dec. nº 3783/2024</w:t>
              </w:r>
            </w:hyperlink>
          </w:p>
        </w:tc>
      </w:tr>
    </w:tbl>
    <w:p w14:paraId="5CD887B7" w14:textId="77777777" w:rsidR="00EC412A" w:rsidRDefault="00000000">
      <w:pPr>
        <w:spacing w:after="167" w:line="417" w:lineRule="auto"/>
        <w:ind w:left="35" w:right="8031"/>
        <w:jc w:val="left"/>
      </w:pPr>
      <w:r>
        <w:rPr>
          <w:b/>
        </w:rPr>
        <w:t xml:space="preserve">Decisões relacionadas: </w:t>
      </w:r>
      <w:hyperlink r:id="rId35">
        <w:r>
          <w:rPr>
            <w:color w:val="2205FC"/>
            <w:u w:val="single" w:color="2205FC"/>
          </w:rPr>
          <w:t>TCDF: Decisão nº 20/2025</w:t>
        </w:r>
      </w:hyperlink>
    </w:p>
    <w:p w14:paraId="79DB50B8" w14:textId="77777777" w:rsidR="00EC412A" w:rsidRDefault="00000000">
      <w:pPr>
        <w:spacing w:after="158"/>
        <w:ind w:left="15" w:right="8"/>
      </w:pPr>
      <w:r>
        <w:rPr>
          <w:b/>
        </w:rPr>
        <w:t>Legislação relacionada:</w:t>
      </w:r>
    </w:p>
    <w:p w14:paraId="6DB4897E" w14:textId="77777777" w:rsidR="00EC412A" w:rsidRDefault="00000000">
      <w:pPr>
        <w:spacing w:after="167" w:line="265" w:lineRule="auto"/>
        <w:ind w:left="35" w:right="0"/>
        <w:jc w:val="left"/>
      </w:pPr>
      <w:hyperlink r:id="rId36">
        <w:r>
          <w:rPr>
            <w:color w:val="2205FC"/>
            <w:u w:val="single" w:color="2205FC"/>
          </w:rPr>
          <w:t>Lei nº 14133/2021, Art. 6º, XXV.</w:t>
        </w:r>
      </w:hyperlink>
    </w:p>
    <w:p w14:paraId="420BA148" w14:textId="77777777" w:rsidR="00EC412A" w:rsidRDefault="00000000">
      <w:pPr>
        <w:spacing w:after="167" w:line="265" w:lineRule="auto"/>
        <w:ind w:left="35" w:right="0"/>
        <w:jc w:val="left"/>
      </w:pPr>
      <w:hyperlink r:id="rId37">
        <w:r>
          <w:rPr>
            <w:color w:val="2205FC"/>
            <w:u w:val="single" w:color="2205FC"/>
          </w:rPr>
          <w:t>Lei nº 14133/2021, Art. 6º, XXVI.</w:t>
        </w:r>
      </w:hyperlink>
    </w:p>
    <w:p w14:paraId="53372065" w14:textId="77777777" w:rsidR="00EC412A" w:rsidRDefault="00000000">
      <w:pPr>
        <w:spacing w:after="167" w:line="265" w:lineRule="auto"/>
        <w:ind w:left="35" w:right="0"/>
        <w:jc w:val="left"/>
      </w:pPr>
      <w:hyperlink r:id="rId38">
        <w:r>
          <w:rPr>
            <w:color w:val="2205FC"/>
            <w:u w:val="single" w:color="2205FC"/>
          </w:rPr>
          <w:t>Lei nº 14133/2021, Art. 6º, XXXII.</w:t>
        </w:r>
      </w:hyperlink>
    </w:p>
    <w:p w14:paraId="04E2A959" w14:textId="77777777" w:rsidR="00EC412A" w:rsidRDefault="00000000">
      <w:pPr>
        <w:spacing w:after="167" w:line="265" w:lineRule="auto"/>
        <w:ind w:left="35" w:right="0"/>
        <w:jc w:val="left"/>
      </w:pPr>
      <w:hyperlink r:id="rId39">
        <w:r>
          <w:rPr>
            <w:color w:val="2205FC"/>
            <w:u w:val="single" w:color="2205FC"/>
          </w:rPr>
          <w:t>Lei nº 14133/2021, Art. 46, § 3º.</w:t>
        </w:r>
      </w:hyperlink>
    </w:p>
    <w:p w14:paraId="068768F8" w14:textId="77777777" w:rsidR="00EC412A" w:rsidRDefault="00000000">
      <w:pPr>
        <w:spacing w:after="167" w:line="265" w:lineRule="auto"/>
        <w:ind w:left="35" w:right="0"/>
        <w:jc w:val="left"/>
      </w:pPr>
      <w:hyperlink r:id="rId40">
        <w:r>
          <w:rPr>
            <w:color w:val="2205FC"/>
            <w:u w:val="single" w:color="2205FC"/>
          </w:rPr>
          <w:t>Lei nº 13303/2016, Art. 42, VI.</w:t>
        </w:r>
      </w:hyperlink>
    </w:p>
    <w:p w14:paraId="13D296F6" w14:textId="77777777" w:rsidR="00EC412A" w:rsidRDefault="00000000">
      <w:pPr>
        <w:spacing w:after="167" w:line="265" w:lineRule="auto"/>
        <w:ind w:left="35" w:right="0"/>
        <w:jc w:val="left"/>
      </w:pPr>
      <w:hyperlink r:id="rId41">
        <w:r>
          <w:rPr>
            <w:color w:val="2205FC"/>
            <w:u w:val="single" w:color="2205FC"/>
          </w:rPr>
          <w:t>Lei nº 13303/2016, Art. 42, VIII.</w:t>
        </w:r>
      </w:hyperlink>
    </w:p>
    <w:p w14:paraId="10F61CEF" w14:textId="77777777" w:rsidR="00EC412A" w:rsidRDefault="00000000">
      <w:pPr>
        <w:spacing w:after="167" w:line="265" w:lineRule="auto"/>
        <w:ind w:left="35" w:right="0"/>
        <w:jc w:val="left"/>
      </w:pPr>
      <w:hyperlink r:id="rId42">
        <w:r>
          <w:rPr>
            <w:color w:val="2205FC"/>
            <w:u w:val="single" w:color="2205FC"/>
          </w:rPr>
          <w:t>Lei nº 13303/2016, Art. 42, IX.</w:t>
        </w:r>
      </w:hyperlink>
    </w:p>
    <w:p w14:paraId="4CC0ADD4" w14:textId="77777777" w:rsidR="00EC412A" w:rsidRDefault="00000000">
      <w:pPr>
        <w:spacing w:after="167" w:line="265" w:lineRule="auto"/>
        <w:ind w:left="35" w:right="0"/>
        <w:jc w:val="left"/>
      </w:pPr>
      <w:hyperlink r:id="rId43">
        <w:r>
          <w:rPr>
            <w:color w:val="2205FC"/>
            <w:u w:val="single" w:color="2205FC"/>
          </w:rPr>
          <w:t>Lei nº 13303/2016, Art. 43, § 2º.</w:t>
        </w:r>
      </w:hyperlink>
    </w:p>
    <w:p w14:paraId="16D96FEA" w14:textId="77777777" w:rsidR="00EC412A" w:rsidRDefault="00000000">
      <w:pPr>
        <w:spacing w:after="0"/>
        <w:ind w:left="15" w:right="8"/>
      </w:pPr>
      <w:r>
        <w:rPr>
          <w:b/>
        </w:rPr>
        <w:t>PREGÃO ELETRÔNICO. DEPARTAMENTO DE ESTRADAS DE RODAGEM DO DISTRITO FEDERAL. SERVIÇO DE LOCAÇÃO DE EQUIPAMENTOS DE RADIOCOMUNICAÇÃO. SISTEMA DE REGISTRO DE PREÇO. ANÁLISE DO EDITAL. IMPROPRIEDADES. SUSPENSÃO DO CERTAME. DETERMINAÇÕES. ATENDIMENTO PARCIAL.</w:t>
      </w:r>
    </w:p>
    <w:p w14:paraId="2EA72BF1" w14:textId="77777777" w:rsidR="00EC412A" w:rsidRDefault="00000000">
      <w:pPr>
        <w:spacing w:after="189"/>
        <w:ind w:left="15" w:right="8"/>
      </w:pPr>
      <w:r>
        <w:rPr>
          <w:b/>
        </w:rPr>
        <w:t>JUSTIFICATIVA DA MODALIDADE DE LOCAÇÃO EM DETRIMENTO DA AQUISIÇÃO. MANUTENÇÃO DA SUSPENSÃO. REITERAÇÃO DE DETERMINAÇÕES</w:t>
      </w:r>
    </w:p>
    <w:p w14:paraId="5E4D7E69" w14:textId="77777777" w:rsidR="00EC412A" w:rsidRDefault="00000000">
      <w:pPr>
        <w:numPr>
          <w:ilvl w:val="0"/>
          <w:numId w:val="4"/>
        </w:numPr>
        <w:spacing w:after="0"/>
        <w:ind w:right="8"/>
      </w:pPr>
      <w:r>
        <w:t>A identificação de irregularidades no processo de fiscalização enseja a atuação desta Corte de Contas, tanto paracompelir o gestor a compatibilizar o desempenho da administração com os critérios estipulados a bem do interesse público, quanto para impor a devida observância das normas de regência.</w:t>
      </w:r>
    </w:p>
    <w:tbl>
      <w:tblPr>
        <w:tblStyle w:val="TableGrid"/>
        <w:tblpPr w:vertAnchor="page" w:horzAnchor="page" w:tblpX="100" w:tblpY="632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795F1860" w14:textId="77777777">
        <w:trPr>
          <w:trHeight w:val="400"/>
        </w:trPr>
        <w:tc>
          <w:tcPr>
            <w:tcW w:w="500" w:type="dxa"/>
            <w:tcBorders>
              <w:top w:val="nil"/>
              <w:left w:val="nil"/>
              <w:bottom w:val="nil"/>
              <w:right w:val="nil"/>
            </w:tcBorders>
            <w:shd w:val="clear" w:color="auto" w:fill="01447F"/>
          </w:tcPr>
          <w:p w14:paraId="5DF77562" w14:textId="77777777" w:rsidR="00EC412A" w:rsidRDefault="00000000">
            <w:pPr>
              <w:spacing w:after="0" w:line="259" w:lineRule="auto"/>
              <w:ind w:left="0" w:right="0" w:firstLine="0"/>
              <w:jc w:val="left"/>
            </w:pPr>
            <w:r>
              <w:rPr>
                <w:b/>
                <w:color w:val="FFFFFF"/>
                <w:sz w:val="28"/>
              </w:rPr>
              <w:t>6</w:t>
            </w:r>
          </w:p>
        </w:tc>
      </w:tr>
    </w:tbl>
    <w:tbl>
      <w:tblPr>
        <w:tblStyle w:val="TableGrid"/>
        <w:tblpPr w:vertAnchor="page" w:horzAnchor="page" w:tblpX="100" w:tblpY="1378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6AA11C42" w14:textId="77777777">
        <w:trPr>
          <w:trHeight w:val="400"/>
        </w:trPr>
        <w:tc>
          <w:tcPr>
            <w:tcW w:w="500" w:type="dxa"/>
            <w:tcBorders>
              <w:top w:val="nil"/>
              <w:left w:val="nil"/>
              <w:bottom w:val="nil"/>
              <w:right w:val="nil"/>
            </w:tcBorders>
            <w:shd w:val="clear" w:color="auto" w:fill="01447F"/>
          </w:tcPr>
          <w:p w14:paraId="50370AAB" w14:textId="77777777" w:rsidR="00EC412A" w:rsidRDefault="00000000">
            <w:pPr>
              <w:spacing w:after="0" w:line="259" w:lineRule="auto"/>
              <w:ind w:left="0" w:right="0" w:firstLine="0"/>
              <w:jc w:val="left"/>
            </w:pPr>
            <w:r>
              <w:rPr>
                <w:b/>
                <w:color w:val="FFFFFF"/>
                <w:sz w:val="28"/>
              </w:rPr>
              <w:t>7</w:t>
            </w:r>
          </w:p>
        </w:tc>
      </w:tr>
    </w:tbl>
    <w:p w14:paraId="41C5FD86" w14:textId="77777777" w:rsidR="00EC412A" w:rsidRDefault="00000000">
      <w:pPr>
        <w:numPr>
          <w:ilvl w:val="0"/>
          <w:numId w:val="4"/>
        </w:numPr>
        <w:spacing w:after="0"/>
        <w:ind w:right="8"/>
      </w:pPr>
      <w:r>
        <w:t>Ao analisar o cumprimento de determinações, o Tribunal pode reiterar aquelas que considere não terem sidointegralmente atendidas ou expedir novas diligências que se mostrem pertinentes.</w:t>
      </w:r>
    </w:p>
    <w:p w14:paraId="639BC695" w14:textId="77777777" w:rsidR="00EC412A" w:rsidRDefault="00000000">
      <w:pPr>
        <w:numPr>
          <w:ilvl w:val="0"/>
          <w:numId w:val="4"/>
        </w:numPr>
        <w:spacing w:after="411"/>
        <w:ind w:right="8"/>
      </w:pPr>
      <w:r>
        <w:t xml:space="preserve">Previamente à contratação ou prorrogação de ajustes já em andamento, tendo por objeto a locação de bens em </w:t>
      </w:r>
      <w:proofErr w:type="gramStart"/>
      <w:r>
        <w:t>geral,deverá</w:t>
      </w:r>
      <w:proofErr w:type="gramEnd"/>
      <w:r>
        <w:t xml:space="preserve"> ser elaborado estudo técnico de viabilidade, contemplando todos os bens a serem locados, bem como os serviços associados, pelo prazo de vida útil do bem ou da duração total do contrato a ser firmado, de forma a demonstrar ser a locação mais vantajosa que a aquisição (Decisão Normativa TCDF n.º 01/11).</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EC412A" w14:paraId="572D8774" w14:textId="77777777">
        <w:trPr>
          <w:trHeight w:val="865"/>
        </w:trPr>
        <w:tc>
          <w:tcPr>
            <w:tcW w:w="5080" w:type="dxa"/>
            <w:tcBorders>
              <w:top w:val="nil"/>
              <w:left w:val="nil"/>
              <w:bottom w:val="nil"/>
              <w:right w:val="nil"/>
            </w:tcBorders>
          </w:tcPr>
          <w:p w14:paraId="6A1E3837" w14:textId="77777777" w:rsidR="00EC412A" w:rsidRDefault="00000000">
            <w:pPr>
              <w:spacing w:after="52" w:line="259" w:lineRule="auto"/>
              <w:ind w:left="0" w:right="0" w:firstLine="0"/>
              <w:jc w:val="left"/>
            </w:pPr>
            <w:r>
              <w:rPr>
                <w:b/>
              </w:rPr>
              <w:t>Relator:</w:t>
            </w:r>
          </w:p>
          <w:p w14:paraId="245F7A03" w14:textId="77777777" w:rsidR="00EC412A" w:rsidRDefault="00000000">
            <w:pPr>
              <w:spacing w:after="132" w:line="259" w:lineRule="auto"/>
              <w:ind w:left="0" w:right="0" w:firstLine="0"/>
              <w:jc w:val="left"/>
            </w:pPr>
            <w:r>
              <w:rPr>
                <w:b/>
              </w:rPr>
              <w:t>André Clemente Lara De Oliveira</w:t>
            </w:r>
          </w:p>
          <w:p w14:paraId="7DD88B5E" w14:textId="77777777" w:rsidR="00EC412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7767A3E2" w14:textId="77777777" w:rsidR="00EC412A" w:rsidRDefault="00000000">
            <w:pPr>
              <w:spacing w:after="52" w:line="259" w:lineRule="auto"/>
              <w:ind w:left="0" w:right="0" w:firstLine="0"/>
              <w:jc w:val="left"/>
            </w:pPr>
            <w:r>
              <w:rPr>
                <w:b/>
              </w:rPr>
              <w:t>Sessão:</w:t>
            </w:r>
          </w:p>
          <w:p w14:paraId="5E07165A" w14:textId="77777777" w:rsidR="00EC412A" w:rsidRDefault="00000000">
            <w:pPr>
              <w:spacing w:after="132" w:line="259" w:lineRule="auto"/>
              <w:ind w:left="0" w:right="0" w:firstLine="0"/>
              <w:jc w:val="left"/>
            </w:pPr>
            <w:r>
              <w:rPr>
                <w:b/>
              </w:rPr>
              <w:t>ORDINÁRIA nº 5404, de 27/11/2024.</w:t>
            </w:r>
          </w:p>
          <w:p w14:paraId="50F16145" w14:textId="77777777" w:rsidR="00EC412A" w:rsidRDefault="00000000">
            <w:pPr>
              <w:spacing w:after="0" w:line="259" w:lineRule="auto"/>
              <w:ind w:left="0" w:right="0" w:firstLine="0"/>
            </w:pPr>
            <w:hyperlink r:id="rId44">
              <w:r>
                <w:rPr>
                  <w:color w:val="2205FC"/>
                  <w:u w:val="single" w:color="2205FC"/>
                </w:rPr>
                <w:t>Proc. nº 6643/2024 - Dec. nº 4461/2024</w:t>
              </w:r>
            </w:hyperlink>
          </w:p>
        </w:tc>
      </w:tr>
    </w:tbl>
    <w:p w14:paraId="08B262DB" w14:textId="77777777" w:rsidR="00EC412A" w:rsidRDefault="00000000">
      <w:pPr>
        <w:spacing w:after="167" w:line="417" w:lineRule="auto"/>
        <w:ind w:left="35" w:right="8031"/>
        <w:jc w:val="left"/>
      </w:pPr>
      <w:r>
        <w:rPr>
          <w:b/>
        </w:rPr>
        <w:t xml:space="preserve">Decisões relacionadas: </w:t>
      </w:r>
      <w:hyperlink r:id="rId45">
        <w:r>
          <w:rPr>
            <w:color w:val="2205FC"/>
            <w:u w:val="single" w:color="2205FC"/>
          </w:rPr>
          <w:t>TCDF: Decisão nº 2227/2024</w:t>
        </w:r>
      </w:hyperlink>
    </w:p>
    <w:p w14:paraId="3E872CBF" w14:textId="77777777" w:rsidR="00EC412A" w:rsidRDefault="00000000">
      <w:pPr>
        <w:spacing w:after="158"/>
        <w:ind w:left="15" w:right="8"/>
      </w:pPr>
      <w:r>
        <w:rPr>
          <w:b/>
        </w:rPr>
        <w:t>Legislação relacionada:</w:t>
      </w:r>
    </w:p>
    <w:p w14:paraId="62CC7646" w14:textId="77777777" w:rsidR="00EC412A" w:rsidRDefault="00000000">
      <w:pPr>
        <w:spacing w:after="167" w:line="265" w:lineRule="auto"/>
        <w:ind w:left="35" w:right="0"/>
        <w:jc w:val="left"/>
      </w:pPr>
      <w:hyperlink r:id="rId46">
        <w:r>
          <w:rPr>
            <w:color w:val="2205FC"/>
            <w:u w:val="single" w:color="2205FC"/>
          </w:rPr>
          <w:t>Decisão normativa nº 1/2011.</w:t>
        </w:r>
      </w:hyperlink>
    </w:p>
    <w:p w14:paraId="58E241EE" w14:textId="77777777" w:rsidR="00EC412A" w:rsidRDefault="00000000">
      <w:pPr>
        <w:spacing w:after="167" w:line="265" w:lineRule="auto"/>
        <w:ind w:left="35" w:right="0"/>
        <w:jc w:val="left"/>
      </w:pPr>
      <w:hyperlink r:id="rId47">
        <w:r>
          <w:rPr>
            <w:color w:val="2205FC"/>
            <w:u w:val="single" w:color="2205FC"/>
          </w:rPr>
          <w:t>Lei nº 14133/2021, Art. 44.</w:t>
        </w:r>
      </w:hyperlink>
    </w:p>
    <w:p w14:paraId="7B0833E1" w14:textId="77777777" w:rsidR="00EC412A" w:rsidRDefault="00000000">
      <w:pPr>
        <w:spacing w:after="415"/>
        <w:ind w:left="15" w:right="8"/>
      </w:pPr>
      <w:r>
        <w:rPr>
          <w:b/>
        </w:rPr>
        <w:t>LICITAÇÕES E CONTRATOS. TRIBUNAL DE CONTAS DO DISTRITO FEDERAL - TCDF. ESTUDOS ESPECIAIS. OBRAS RODOVIÁRIAS. CIMENTO ASFÁLTICO DE PETRÓLEO. MEDIÇÕES. CRITÉRIOS. ORIENTAÇÕES. EDITAL DE LICITAÇÃO. CLÁUSULAS ESPECÍFICAS. DNIT. NORMATIVOS TÉCNICOS. OBSERVÂNCIA OBRIGATÓRIA.</w:t>
      </w:r>
    </w:p>
    <w:p w14:paraId="04BB3893" w14:textId="77777777" w:rsidR="00EC412A" w:rsidRDefault="00000000">
      <w:pPr>
        <w:ind w:left="15" w:right="8"/>
      </w:pPr>
      <w:r>
        <w:t>Estudos Especiais instaurados para avaliar a pertinência de se elaborar proposições relacionadas ao critério de medição do teor de Cimento Asfáltico de Petróleo - CAP, conforme determinado pelo item IV.a da Decisão n.º 4.829/2023. O Tribunal, por unanimidade, decidiu firmar os seguintes entendimentos: a) à</w:t>
      </w:r>
    </w:p>
    <w:p w14:paraId="1D76205E" w14:textId="77777777" w:rsidR="00EC412A" w:rsidRDefault="00000000">
      <w:pPr>
        <w:spacing w:after="627"/>
        <w:ind w:left="15" w:right="8"/>
      </w:pPr>
      <w:r>
        <w:t>luz dos princípios da vinculação ao instrumento convocatório e do equilíbrio econômico-financeiro, a Administração deve prever no Edital de licitação pública cláusulas específicas e claras sobre como as medições serão realizadas, a indicação dos responsáveis pela mensuração e levantamentos que subsidiarão os quantitativos medidos, bem como dispor sobre a forma de tratamento de eventuais discrepâncias; b) nos casos das obras, é imperativo que sejam seguidos os normativos técnicos estabelecidos, especialmente devido às especificações técnicas envolvidas. Para obras rodoviárias, em particular, os critérios de medição devem ser definidos, prioritariamente, com base nos normativos do Departamento Nacional de Infraestrutura de Transportes (DNIT); c) o critério de medição das quantidades medidas do teor de CAP estabelecido nas normas técnicas DNIT 031/2006-ES (Pavimentos flexíveis - Concreto asfáltico - Especificação de serviço) e DNER-ES 385/99 (Especificação de Serviço de Pavimentação   Concreto Asfáltico com Asfalto Polímero) permite que a quantidade medida do teor de CAP exceda a prevista no projeto, desde que permaneça dentro da tolerância máxima estabelecida pela norma e que seja lastreada por controle tecnológico confiável. Além disso, autorizou o encaminhamento da Decisão e do respectivo Relatório/Voto ao Departamento de Estradas de Rodagem do Distrito Federal - DER/DF, a todo Complexo Administrativo do Distrito Federal e a todas as unidades técnicas desta Corte de Contas.</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EC412A" w14:paraId="74F8BF05" w14:textId="77777777">
        <w:trPr>
          <w:trHeight w:val="865"/>
        </w:trPr>
        <w:tc>
          <w:tcPr>
            <w:tcW w:w="5080" w:type="dxa"/>
            <w:tcBorders>
              <w:top w:val="nil"/>
              <w:left w:val="nil"/>
              <w:bottom w:val="nil"/>
              <w:right w:val="nil"/>
            </w:tcBorders>
          </w:tcPr>
          <w:p w14:paraId="57C47C21" w14:textId="77777777" w:rsidR="00EC412A" w:rsidRDefault="00000000">
            <w:pPr>
              <w:spacing w:after="52" w:line="259" w:lineRule="auto"/>
              <w:ind w:left="0" w:right="0" w:firstLine="0"/>
              <w:jc w:val="left"/>
            </w:pPr>
            <w:r>
              <w:rPr>
                <w:b/>
              </w:rPr>
              <w:t>Relator:</w:t>
            </w:r>
          </w:p>
          <w:p w14:paraId="27DAF0DB" w14:textId="77777777" w:rsidR="00EC412A" w:rsidRDefault="00000000">
            <w:pPr>
              <w:spacing w:after="132" w:line="259" w:lineRule="auto"/>
              <w:ind w:left="0" w:right="0" w:firstLine="0"/>
              <w:jc w:val="left"/>
            </w:pPr>
            <w:r>
              <w:rPr>
                <w:b/>
              </w:rPr>
              <w:t>Manoel Paulo de Andrade Neto</w:t>
            </w:r>
          </w:p>
          <w:p w14:paraId="1556C67F" w14:textId="77777777" w:rsidR="00EC412A" w:rsidRDefault="00000000">
            <w:pPr>
              <w:spacing w:after="0" w:line="259" w:lineRule="auto"/>
              <w:ind w:left="0" w:right="0" w:firstLine="0"/>
              <w:jc w:val="left"/>
            </w:pPr>
            <w:r>
              <w:rPr>
                <w:b/>
              </w:rPr>
              <w:t>Decisão por unanimidade</w:t>
            </w:r>
          </w:p>
        </w:tc>
        <w:tc>
          <w:tcPr>
            <w:tcW w:w="3648" w:type="dxa"/>
            <w:tcBorders>
              <w:top w:val="nil"/>
              <w:left w:val="nil"/>
              <w:bottom w:val="nil"/>
              <w:right w:val="nil"/>
            </w:tcBorders>
          </w:tcPr>
          <w:p w14:paraId="3D09ADCF" w14:textId="77777777" w:rsidR="00EC412A" w:rsidRDefault="00000000">
            <w:pPr>
              <w:spacing w:after="52" w:line="259" w:lineRule="auto"/>
              <w:ind w:left="0" w:right="0" w:firstLine="0"/>
              <w:jc w:val="left"/>
            </w:pPr>
            <w:r>
              <w:rPr>
                <w:b/>
              </w:rPr>
              <w:t>Sessão:</w:t>
            </w:r>
          </w:p>
          <w:p w14:paraId="375DB677" w14:textId="77777777" w:rsidR="00EC412A" w:rsidRDefault="00000000">
            <w:pPr>
              <w:spacing w:after="132" w:line="259" w:lineRule="auto"/>
              <w:ind w:left="0" w:right="0" w:firstLine="0"/>
              <w:jc w:val="left"/>
            </w:pPr>
            <w:r>
              <w:rPr>
                <w:b/>
              </w:rPr>
              <w:t>ORDINÁRIA nº 5404, de 27/11/2024.</w:t>
            </w:r>
          </w:p>
          <w:p w14:paraId="212DCC06" w14:textId="77777777" w:rsidR="00EC412A" w:rsidRDefault="00000000">
            <w:pPr>
              <w:spacing w:after="0" w:line="259" w:lineRule="auto"/>
              <w:ind w:left="0" w:right="0" w:firstLine="0"/>
            </w:pPr>
            <w:hyperlink r:id="rId48">
              <w:r>
                <w:rPr>
                  <w:color w:val="2205FC"/>
                  <w:u w:val="single" w:color="2205FC"/>
                </w:rPr>
                <w:t>Proc. nº 14852/2023 - Dec. nº 4549/2024</w:t>
              </w:r>
            </w:hyperlink>
          </w:p>
        </w:tc>
      </w:tr>
    </w:tbl>
    <w:p w14:paraId="05C50F8B" w14:textId="77777777" w:rsidR="00EC412A" w:rsidRDefault="00000000">
      <w:pPr>
        <w:spacing w:after="158"/>
        <w:ind w:left="15" w:right="8"/>
      </w:pPr>
      <w:r>
        <w:rPr>
          <w:b/>
        </w:rPr>
        <w:t>Decisões relacionadas:</w:t>
      </w:r>
    </w:p>
    <w:p w14:paraId="73F1EA2F" w14:textId="77777777" w:rsidR="00EC412A" w:rsidRDefault="00000000">
      <w:pPr>
        <w:spacing w:after="327" w:line="265" w:lineRule="auto"/>
        <w:ind w:left="35" w:right="0"/>
        <w:jc w:val="left"/>
      </w:pPr>
      <w:hyperlink r:id="rId49">
        <w:r>
          <w:rPr>
            <w:color w:val="2205FC"/>
            <w:u w:val="single" w:color="2205FC"/>
          </w:rPr>
          <w:t>TCDF: Decisão nº 4829/2023</w:t>
        </w:r>
      </w:hyperlink>
    </w:p>
    <w:p w14:paraId="22B2111A" w14:textId="77777777" w:rsidR="00EC412A" w:rsidRDefault="00000000">
      <w:pPr>
        <w:spacing w:after="7"/>
        <w:ind w:left="15" w:right="8"/>
      </w:pPr>
      <w:r>
        <w:rPr>
          <w:b/>
        </w:rPr>
        <w:t>LICITAÇÕES E CONTRATOS. DEPARTAMENTO DE ESTRADAS DE RODAGEM DO DISTRITO FEDERAL - DER/DF.</w:t>
      </w:r>
    </w:p>
    <w:tbl>
      <w:tblPr>
        <w:tblStyle w:val="TableGrid"/>
        <w:tblpPr w:vertAnchor="page" w:horzAnchor="page" w:tblpX="100" w:tblpY="66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EC412A" w14:paraId="4A743CC9" w14:textId="77777777">
        <w:trPr>
          <w:trHeight w:val="400"/>
        </w:trPr>
        <w:tc>
          <w:tcPr>
            <w:tcW w:w="500" w:type="dxa"/>
            <w:tcBorders>
              <w:top w:val="nil"/>
              <w:left w:val="nil"/>
              <w:bottom w:val="nil"/>
              <w:right w:val="nil"/>
            </w:tcBorders>
            <w:shd w:val="clear" w:color="auto" w:fill="01447F"/>
          </w:tcPr>
          <w:p w14:paraId="2446C805" w14:textId="77777777" w:rsidR="00EC412A" w:rsidRDefault="00000000">
            <w:pPr>
              <w:spacing w:after="0" w:line="259" w:lineRule="auto"/>
              <w:ind w:left="0" w:right="0" w:firstLine="0"/>
              <w:jc w:val="left"/>
            </w:pPr>
            <w:r>
              <w:rPr>
                <w:b/>
                <w:color w:val="FFFFFF"/>
                <w:sz w:val="28"/>
              </w:rPr>
              <w:t>8</w:t>
            </w:r>
          </w:p>
        </w:tc>
      </w:tr>
    </w:tbl>
    <w:p w14:paraId="684CC41B" w14:textId="77777777" w:rsidR="00EC412A" w:rsidRDefault="00000000">
      <w:pPr>
        <w:spacing w:after="422"/>
        <w:ind w:left="15" w:right="8"/>
      </w:pPr>
      <w:r>
        <w:rPr>
          <w:b/>
        </w:rPr>
        <w:t>PROCESSO ORDINÁRIO DE ANÁLISE E ACOMPANHAMENTO. EDITAL. IRREGULARIDADE. DETERMINAÇÕES DO TCDF. LEI N° 8.666/1993. VIGÊNCIA. MANIFESTAÇÃO DA JURISDICIONADA. LEI N° 14.133/2021. VIGÊNCIA. EDITAL SOB ANÁLISE. REVOGAÇÃO. NOVO PROCEDIMENTO.</w:t>
      </w:r>
    </w:p>
    <w:p w14:paraId="640C3EE3" w14:textId="77777777" w:rsidR="00EC412A" w:rsidRDefault="00000000">
      <w:pPr>
        <w:spacing w:after="178"/>
        <w:ind w:left="15" w:right="8"/>
      </w:pPr>
      <w:r>
        <w:t>Análise do edital do Pregão Eletrônico n.º 86/2020, lançado pelo Departamento de Estradas e Rodagens do Distrito Federal - DER/DF, visando à contratação de empresa para prestar serviços de instalação de equipamentos de segurança eletrônica. O Conselheiro relator ponderou não ser razoável fazer uso do art. 191 da Lei n.º 14.133/2021 (que trata de regra de transição para que a Administração possa licitar com base na Lei n.º 8.666/1993) ao caso em análise, considerando que o referido pregão foi lançado e suspenso ainda em 2020, com determinações da Corte de Contas para providências em 2021 e 2022, e com resposta do órgão licitante somente em setembro de 2024. O Tribunal, por unanimidade, decidiu determinar ao DER/DF que revogue o Pregão Eletrônico n.º 86/2020 e, caso deseje realizar a contratação do objeto correspondente, formate novo procedimento licitatório de acordo com normas vigentes sobre a matéria, em especial a Lei n.º 14.133/2021 e a Instrução Normativa SGD/ME n.º 94/2022, aplicável no Distrito Federal por força do Decreto distrital n.º 45.011/2023.</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EC412A" w14:paraId="6D4738CE" w14:textId="77777777">
        <w:trPr>
          <w:trHeight w:val="865"/>
        </w:trPr>
        <w:tc>
          <w:tcPr>
            <w:tcW w:w="5080" w:type="dxa"/>
            <w:tcBorders>
              <w:top w:val="nil"/>
              <w:left w:val="nil"/>
              <w:bottom w:val="nil"/>
              <w:right w:val="nil"/>
            </w:tcBorders>
          </w:tcPr>
          <w:p w14:paraId="44D566B4" w14:textId="77777777" w:rsidR="00EC412A" w:rsidRDefault="00000000">
            <w:pPr>
              <w:spacing w:after="52" w:line="259" w:lineRule="auto"/>
              <w:ind w:left="0" w:right="0" w:firstLine="0"/>
              <w:jc w:val="left"/>
            </w:pPr>
            <w:r>
              <w:rPr>
                <w:b/>
              </w:rPr>
              <w:t>Relator:</w:t>
            </w:r>
          </w:p>
          <w:p w14:paraId="49D1D1DE" w14:textId="77777777" w:rsidR="00EC412A" w:rsidRDefault="00000000">
            <w:pPr>
              <w:spacing w:after="132" w:line="259" w:lineRule="auto"/>
              <w:ind w:left="0" w:right="0" w:firstLine="0"/>
              <w:jc w:val="left"/>
            </w:pPr>
            <w:r>
              <w:rPr>
                <w:b/>
              </w:rPr>
              <w:t>Inácio Magalhães Filho</w:t>
            </w:r>
          </w:p>
          <w:p w14:paraId="116D209F" w14:textId="77777777" w:rsidR="00EC412A" w:rsidRDefault="00000000">
            <w:pPr>
              <w:spacing w:after="0" w:line="259" w:lineRule="auto"/>
              <w:ind w:left="0" w:right="0" w:firstLine="0"/>
              <w:jc w:val="left"/>
            </w:pPr>
            <w:r>
              <w:rPr>
                <w:b/>
              </w:rPr>
              <w:t>Decisão por unanimidade</w:t>
            </w:r>
          </w:p>
        </w:tc>
        <w:tc>
          <w:tcPr>
            <w:tcW w:w="3537" w:type="dxa"/>
            <w:tcBorders>
              <w:top w:val="nil"/>
              <w:left w:val="nil"/>
              <w:bottom w:val="nil"/>
              <w:right w:val="nil"/>
            </w:tcBorders>
          </w:tcPr>
          <w:p w14:paraId="2289279D" w14:textId="77777777" w:rsidR="00EC412A" w:rsidRDefault="00000000">
            <w:pPr>
              <w:spacing w:after="52" w:line="259" w:lineRule="auto"/>
              <w:ind w:left="0" w:right="0" w:firstLine="0"/>
              <w:jc w:val="left"/>
            </w:pPr>
            <w:r>
              <w:rPr>
                <w:b/>
              </w:rPr>
              <w:t>Sessão:</w:t>
            </w:r>
          </w:p>
          <w:p w14:paraId="02C18030" w14:textId="77777777" w:rsidR="00EC412A" w:rsidRDefault="00000000">
            <w:pPr>
              <w:spacing w:after="132" w:line="259" w:lineRule="auto"/>
              <w:ind w:left="0" w:right="0" w:firstLine="0"/>
              <w:jc w:val="left"/>
            </w:pPr>
            <w:r>
              <w:rPr>
                <w:b/>
              </w:rPr>
              <w:t>ORDINÁRIA nº 5404, de 27/11/2024.</w:t>
            </w:r>
          </w:p>
          <w:p w14:paraId="545F7639" w14:textId="77777777" w:rsidR="00EC412A" w:rsidRDefault="00000000">
            <w:pPr>
              <w:spacing w:after="0" w:line="259" w:lineRule="auto"/>
              <w:ind w:left="0" w:right="0" w:firstLine="0"/>
            </w:pPr>
            <w:hyperlink r:id="rId50">
              <w:r>
                <w:rPr>
                  <w:color w:val="2205FC"/>
                  <w:u w:val="single" w:color="2205FC"/>
                </w:rPr>
                <w:t>Proc. nº 8706/2020 - Dec. nº 4590/2024</w:t>
              </w:r>
            </w:hyperlink>
          </w:p>
        </w:tc>
      </w:tr>
    </w:tbl>
    <w:p w14:paraId="605B2E58" w14:textId="77777777" w:rsidR="00EC412A" w:rsidRDefault="00000000">
      <w:pPr>
        <w:spacing w:after="158"/>
        <w:ind w:left="15" w:right="8"/>
      </w:pPr>
      <w:r>
        <w:rPr>
          <w:b/>
        </w:rPr>
        <w:t>Legislação relacionada:</w:t>
      </w:r>
    </w:p>
    <w:p w14:paraId="250DDB62" w14:textId="77777777" w:rsidR="00EC412A" w:rsidRDefault="00000000">
      <w:pPr>
        <w:spacing w:after="167" w:line="265" w:lineRule="auto"/>
        <w:ind w:left="35" w:right="0"/>
        <w:jc w:val="left"/>
      </w:pPr>
      <w:hyperlink r:id="rId51">
        <w:r>
          <w:rPr>
            <w:color w:val="2205FC"/>
            <w:u w:val="single" w:color="2205FC"/>
          </w:rPr>
          <w:t>Lei nº 8666/1993</w:t>
        </w:r>
      </w:hyperlink>
    </w:p>
    <w:p w14:paraId="1FA60A48" w14:textId="77777777" w:rsidR="00EC412A" w:rsidRDefault="00000000">
      <w:pPr>
        <w:spacing w:after="167" w:line="265" w:lineRule="auto"/>
        <w:ind w:left="35" w:right="0"/>
        <w:jc w:val="left"/>
      </w:pPr>
      <w:hyperlink r:id="rId52">
        <w:r>
          <w:rPr>
            <w:color w:val="2205FC"/>
            <w:u w:val="single" w:color="2205FC"/>
          </w:rPr>
          <w:t>Lei nº 14133/2021, Art. 191.</w:t>
        </w:r>
      </w:hyperlink>
    </w:p>
    <w:p w14:paraId="3FE5312A" w14:textId="77777777" w:rsidR="00EC412A" w:rsidRDefault="00000000">
      <w:pPr>
        <w:spacing w:after="40" w:line="265" w:lineRule="auto"/>
        <w:ind w:left="35" w:right="0"/>
        <w:jc w:val="left"/>
      </w:pPr>
      <w:hyperlink r:id="rId53">
        <w:r>
          <w:rPr>
            <w:color w:val="2205FC"/>
            <w:u w:val="single" w:color="2205FC"/>
          </w:rPr>
          <w:t>Decreto nº 45011/2023</w:t>
        </w:r>
      </w:hyperlink>
    </w:p>
    <w:p w14:paraId="569BFD43" w14:textId="77777777" w:rsidR="00EC412A" w:rsidRDefault="00000000">
      <w:pPr>
        <w:spacing w:after="470" w:line="259" w:lineRule="auto"/>
        <w:ind w:left="300" w:right="0" w:firstLine="0"/>
        <w:jc w:val="left"/>
      </w:pPr>
      <w:r>
        <w:rPr>
          <w:rFonts w:ascii="Calibri" w:eastAsia="Calibri" w:hAnsi="Calibri" w:cs="Calibri"/>
          <w:noProof/>
          <w:sz w:val="22"/>
        </w:rPr>
        <mc:AlternateContent>
          <mc:Choice Requires="wpg">
            <w:drawing>
              <wp:inline distT="0" distB="0" distL="0" distR="0" wp14:anchorId="5008D6C1" wp14:editId="7E2393AF">
                <wp:extent cx="6350000" cy="12700"/>
                <wp:effectExtent l="0" t="0" r="0" b="0"/>
                <wp:docPr id="5904" name="Group 5904"/>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452" name="Shape 452"/>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904" style="width:500pt;height:1pt;mso-position-horizontal-relative:char;mso-position-vertical-relative:line" coordsize="63500,127">
                <v:shape id="Shape 452" style="position:absolute;width:63500;height:0;left:0;top:0;" coordsize="6350000,0" path="m0,0l6350000,0">
                  <v:stroke weight="1pt" endcap="flat" joinstyle="miter" miterlimit="10" on="true" color="#000000"/>
                  <v:fill on="false" color="#000000" opacity="0"/>
                </v:shape>
              </v:group>
            </w:pict>
          </mc:Fallback>
        </mc:AlternateContent>
      </w:r>
    </w:p>
    <w:p w14:paraId="394FC77C" w14:textId="77777777" w:rsidR="00EC412A" w:rsidRDefault="00000000">
      <w:pPr>
        <w:spacing w:after="305" w:line="259" w:lineRule="auto"/>
        <w:ind w:left="2463" w:right="0"/>
        <w:jc w:val="left"/>
      </w:pPr>
      <w:r>
        <w:rPr>
          <w:b/>
          <w:sz w:val="24"/>
        </w:rPr>
        <w:t>OUTRAS DECISÕES SOBRE LICITAÇÕES E CONTRATOS</w:t>
      </w:r>
    </w:p>
    <w:p w14:paraId="44A4B936" w14:textId="77777777" w:rsidR="00EC412A" w:rsidRDefault="00000000">
      <w:pPr>
        <w:spacing w:after="167" w:line="265" w:lineRule="auto"/>
        <w:ind w:left="35" w:right="0"/>
        <w:jc w:val="left"/>
      </w:pPr>
      <w:hyperlink r:id="rId54">
        <w:r>
          <w:rPr>
            <w:color w:val="2205FC"/>
            <w:u w:val="single" w:color="2205FC"/>
          </w:rPr>
          <w:t>Decisão nº 2782/2024</w:t>
        </w:r>
      </w:hyperlink>
    </w:p>
    <w:p w14:paraId="7E622C4C" w14:textId="77777777" w:rsidR="00EC412A" w:rsidRDefault="00000000">
      <w:pPr>
        <w:spacing w:after="167" w:line="265" w:lineRule="auto"/>
        <w:ind w:left="35" w:right="0"/>
        <w:jc w:val="left"/>
      </w:pPr>
      <w:hyperlink r:id="rId55">
        <w:r>
          <w:rPr>
            <w:color w:val="2205FC"/>
            <w:u w:val="single" w:color="2205FC"/>
          </w:rPr>
          <w:t>Decisão nº 2941/2024</w:t>
        </w:r>
      </w:hyperlink>
    </w:p>
    <w:p w14:paraId="174A5E17" w14:textId="77777777" w:rsidR="00EC412A" w:rsidRDefault="00000000">
      <w:pPr>
        <w:spacing w:after="167" w:line="265" w:lineRule="auto"/>
        <w:ind w:left="35" w:right="0"/>
        <w:jc w:val="left"/>
      </w:pPr>
      <w:hyperlink r:id="rId56">
        <w:r>
          <w:rPr>
            <w:color w:val="2205FC"/>
            <w:u w:val="single" w:color="2205FC"/>
          </w:rPr>
          <w:t>Decisão nº 2948/2024</w:t>
        </w:r>
      </w:hyperlink>
    </w:p>
    <w:p w14:paraId="1B086336" w14:textId="77777777" w:rsidR="00EC412A" w:rsidRDefault="00000000">
      <w:pPr>
        <w:spacing w:after="167" w:line="265" w:lineRule="auto"/>
        <w:ind w:left="35" w:right="0"/>
        <w:jc w:val="left"/>
      </w:pPr>
      <w:hyperlink r:id="rId57">
        <w:r>
          <w:rPr>
            <w:color w:val="2205FC"/>
            <w:u w:val="single" w:color="2205FC"/>
          </w:rPr>
          <w:t>Decisão nº 2864/2024</w:t>
        </w:r>
      </w:hyperlink>
    </w:p>
    <w:p w14:paraId="2BD2D3B4" w14:textId="77777777" w:rsidR="00EC412A" w:rsidRDefault="00000000">
      <w:pPr>
        <w:spacing w:after="167" w:line="265" w:lineRule="auto"/>
        <w:ind w:left="35" w:right="0"/>
        <w:jc w:val="left"/>
      </w:pPr>
      <w:hyperlink r:id="rId58">
        <w:r>
          <w:rPr>
            <w:color w:val="2205FC"/>
            <w:u w:val="single" w:color="2205FC"/>
          </w:rPr>
          <w:t>Decisão nº 2916/2024</w:t>
        </w:r>
      </w:hyperlink>
    </w:p>
    <w:p w14:paraId="52106600" w14:textId="77777777" w:rsidR="00EC412A" w:rsidRDefault="00000000">
      <w:pPr>
        <w:spacing w:after="167" w:line="265" w:lineRule="auto"/>
        <w:ind w:left="35" w:right="0"/>
        <w:jc w:val="left"/>
      </w:pPr>
      <w:hyperlink r:id="rId59">
        <w:r>
          <w:rPr>
            <w:color w:val="2205FC"/>
            <w:u w:val="single" w:color="2205FC"/>
          </w:rPr>
          <w:t>Decisão nº 2860/2024</w:t>
        </w:r>
      </w:hyperlink>
    </w:p>
    <w:p w14:paraId="5A25DE06" w14:textId="77777777" w:rsidR="00EC412A" w:rsidRDefault="00000000">
      <w:pPr>
        <w:spacing w:after="167" w:line="265" w:lineRule="auto"/>
        <w:ind w:left="35" w:right="0"/>
        <w:jc w:val="left"/>
      </w:pPr>
      <w:hyperlink r:id="rId60">
        <w:r>
          <w:rPr>
            <w:color w:val="2205FC"/>
            <w:u w:val="single" w:color="2205FC"/>
          </w:rPr>
          <w:t>Decisão nº 2869/2024</w:t>
        </w:r>
      </w:hyperlink>
    </w:p>
    <w:p w14:paraId="79C365B7" w14:textId="77777777" w:rsidR="00EC412A" w:rsidRDefault="00000000">
      <w:pPr>
        <w:spacing w:after="167" w:line="265" w:lineRule="auto"/>
        <w:ind w:left="35" w:right="0"/>
        <w:jc w:val="left"/>
      </w:pPr>
      <w:hyperlink r:id="rId61">
        <w:r>
          <w:rPr>
            <w:color w:val="2205FC"/>
            <w:u w:val="single" w:color="2205FC"/>
          </w:rPr>
          <w:t>Decisão nº 2968/2024</w:t>
        </w:r>
      </w:hyperlink>
    </w:p>
    <w:p w14:paraId="58222001" w14:textId="77777777" w:rsidR="00EC412A" w:rsidRDefault="00000000">
      <w:pPr>
        <w:spacing w:after="167" w:line="265" w:lineRule="auto"/>
        <w:ind w:left="35" w:right="0"/>
        <w:jc w:val="left"/>
      </w:pPr>
      <w:hyperlink r:id="rId62">
        <w:r>
          <w:rPr>
            <w:color w:val="2205FC"/>
            <w:u w:val="single" w:color="2205FC"/>
          </w:rPr>
          <w:t>Decisão nº 2972/2024</w:t>
        </w:r>
      </w:hyperlink>
    </w:p>
    <w:p w14:paraId="3032B063" w14:textId="77777777" w:rsidR="00EC412A" w:rsidRDefault="00000000">
      <w:pPr>
        <w:spacing w:after="167" w:line="265" w:lineRule="auto"/>
        <w:ind w:left="35" w:right="0"/>
        <w:jc w:val="left"/>
      </w:pPr>
      <w:hyperlink r:id="rId63">
        <w:r>
          <w:rPr>
            <w:color w:val="2205FC"/>
            <w:u w:val="single" w:color="2205FC"/>
          </w:rPr>
          <w:t>Decisão nº 3052/2024</w:t>
        </w:r>
      </w:hyperlink>
    </w:p>
    <w:p w14:paraId="23A5A0A1" w14:textId="77777777" w:rsidR="00EC412A" w:rsidRDefault="00000000">
      <w:pPr>
        <w:spacing w:after="167" w:line="265" w:lineRule="auto"/>
        <w:ind w:left="35" w:right="0"/>
        <w:jc w:val="left"/>
      </w:pPr>
      <w:hyperlink r:id="rId64">
        <w:r>
          <w:rPr>
            <w:color w:val="2205FC"/>
            <w:u w:val="single" w:color="2205FC"/>
          </w:rPr>
          <w:t>Decisão nº 3072/2024</w:t>
        </w:r>
      </w:hyperlink>
    </w:p>
    <w:p w14:paraId="24101216" w14:textId="77777777" w:rsidR="00EC412A" w:rsidRDefault="00000000">
      <w:pPr>
        <w:spacing w:after="167" w:line="265" w:lineRule="auto"/>
        <w:ind w:left="35" w:right="0"/>
        <w:jc w:val="left"/>
      </w:pPr>
      <w:hyperlink r:id="rId65">
        <w:r>
          <w:rPr>
            <w:color w:val="2205FC"/>
            <w:u w:val="single" w:color="2205FC"/>
          </w:rPr>
          <w:t>Decisão nº 3115/2024</w:t>
        </w:r>
      </w:hyperlink>
    </w:p>
    <w:p w14:paraId="1792A86B" w14:textId="77777777" w:rsidR="00EC412A" w:rsidRDefault="00000000">
      <w:pPr>
        <w:spacing w:after="167" w:line="265" w:lineRule="auto"/>
        <w:ind w:left="35" w:right="0"/>
        <w:jc w:val="left"/>
      </w:pPr>
      <w:hyperlink r:id="rId66">
        <w:r>
          <w:rPr>
            <w:color w:val="2205FC"/>
            <w:u w:val="single" w:color="2205FC"/>
          </w:rPr>
          <w:t>Decisão nº 3265/2024</w:t>
        </w:r>
      </w:hyperlink>
    </w:p>
    <w:p w14:paraId="7053BCDA" w14:textId="77777777" w:rsidR="00EC412A" w:rsidRDefault="00000000">
      <w:pPr>
        <w:spacing w:after="167" w:line="265" w:lineRule="auto"/>
        <w:ind w:left="35" w:right="0"/>
        <w:jc w:val="left"/>
      </w:pPr>
      <w:hyperlink r:id="rId67">
        <w:r>
          <w:rPr>
            <w:color w:val="2205FC"/>
            <w:u w:val="single" w:color="2205FC"/>
          </w:rPr>
          <w:t>Decisão nº 3372/2024</w:t>
        </w:r>
      </w:hyperlink>
    </w:p>
    <w:p w14:paraId="5780E8EF" w14:textId="77777777" w:rsidR="00EC412A" w:rsidRDefault="00000000">
      <w:pPr>
        <w:spacing w:after="167" w:line="265" w:lineRule="auto"/>
        <w:ind w:left="35" w:right="0"/>
        <w:jc w:val="left"/>
      </w:pPr>
      <w:hyperlink r:id="rId68">
        <w:r>
          <w:rPr>
            <w:color w:val="2205FC"/>
            <w:u w:val="single" w:color="2205FC"/>
          </w:rPr>
          <w:t>Decisão nº 3449/2024</w:t>
        </w:r>
      </w:hyperlink>
    </w:p>
    <w:p w14:paraId="07750ED7" w14:textId="77777777" w:rsidR="00EC412A" w:rsidRDefault="00000000">
      <w:pPr>
        <w:spacing w:after="167" w:line="265" w:lineRule="auto"/>
        <w:ind w:left="35" w:right="0"/>
        <w:jc w:val="left"/>
      </w:pPr>
      <w:hyperlink r:id="rId69">
        <w:r>
          <w:rPr>
            <w:color w:val="2205FC"/>
            <w:u w:val="single" w:color="2205FC"/>
          </w:rPr>
          <w:t>Decisão nº 3535/2024</w:t>
        </w:r>
      </w:hyperlink>
    </w:p>
    <w:p w14:paraId="30C704CE" w14:textId="77777777" w:rsidR="00EC412A" w:rsidRDefault="00000000">
      <w:pPr>
        <w:spacing w:after="167" w:line="265" w:lineRule="auto"/>
        <w:ind w:left="35" w:right="0"/>
        <w:jc w:val="left"/>
      </w:pPr>
      <w:hyperlink r:id="rId70">
        <w:r>
          <w:rPr>
            <w:color w:val="2205FC"/>
            <w:u w:val="single" w:color="2205FC"/>
          </w:rPr>
          <w:t>Decisão nº 3582/2024</w:t>
        </w:r>
      </w:hyperlink>
    </w:p>
    <w:p w14:paraId="5E101D3D" w14:textId="77777777" w:rsidR="00EC412A" w:rsidRDefault="00000000">
      <w:pPr>
        <w:spacing w:after="167" w:line="265" w:lineRule="auto"/>
        <w:ind w:left="35" w:right="0"/>
        <w:jc w:val="left"/>
      </w:pPr>
      <w:hyperlink r:id="rId71">
        <w:r>
          <w:rPr>
            <w:color w:val="2205FC"/>
            <w:u w:val="single" w:color="2205FC"/>
          </w:rPr>
          <w:t>Decisão nº 3532/2024</w:t>
        </w:r>
      </w:hyperlink>
    </w:p>
    <w:p w14:paraId="2B3E952A" w14:textId="77777777" w:rsidR="00EC412A" w:rsidRDefault="00000000">
      <w:pPr>
        <w:spacing w:after="167" w:line="265" w:lineRule="auto"/>
        <w:ind w:left="35" w:right="0"/>
        <w:jc w:val="left"/>
      </w:pPr>
      <w:hyperlink r:id="rId72">
        <w:r>
          <w:rPr>
            <w:color w:val="2205FC"/>
            <w:u w:val="single" w:color="2205FC"/>
          </w:rPr>
          <w:t>Decisão nº 3603/2024</w:t>
        </w:r>
      </w:hyperlink>
    </w:p>
    <w:p w14:paraId="1AED243B" w14:textId="77777777" w:rsidR="00EC412A" w:rsidRDefault="00000000">
      <w:pPr>
        <w:spacing w:after="167" w:line="265" w:lineRule="auto"/>
        <w:ind w:left="35" w:right="0"/>
        <w:jc w:val="left"/>
      </w:pPr>
      <w:hyperlink r:id="rId73">
        <w:r>
          <w:rPr>
            <w:color w:val="2205FC"/>
            <w:u w:val="single" w:color="2205FC"/>
          </w:rPr>
          <w:t>Decisão nº 3692/2024</w:t>
        </w:r>
      </w:hyperlink>
    </w:p>
    <w:p w14:paraId="1693B936" w14:textId="77777777" w:rsidR="00EC412A" w:rsidRDefault="00000000">
      <w:pPr>
        <w:spacing w:after="167" w:line="265" w:lineRule="auto"/>
        <w:ind w:left="35" w:right="0"/>
        <w:jc w:val="left"/>
      </w:pPr>
      <w:hyperlink r:id="rId74">
        <w:r>
          <w:rPr>
            <w:color w:val="2205FC"/>
            <w:u w:val="single" w:color="2205FC"/>
          </w:rPr>
          <w:t>Decisão nº 3616/2024</w:t>
        </w:r>
      </w:hyperlink>
    </w:p>
    <w:p w14:paraId="3C3514EC" w14:textId="77777777" w:rsidR="00EC412A" w:rsidRDefault="00000000">
      <w:pPr>
        <w:spacing w:after="167" w:line="265" w:lineRule="auto"/>
        <w:ind w:left="35" w:right="0"/>
        <w:jc w:val="left"/>
      </w:pPr>
      <w:hyperlink r:id="rId75">
        <w:r>
          <w:rPr>
            <w:color w:val="2205FC"/>
            <w:u w:val="single" w:color="2205FC"/>
          </w:rPr>
          <w:t>Decisão nº 3680/2024</w:t>
        </w:r>
      </w:hyperlink>
    </w:p>
    <w:p w14:paraId="5B708670" w14:textId="77777777" w:rsidR="00EC412A" w:rsidRDefault="00000000">
      <w:pPr>
        <w:spacing w:after="167" w:line="265" w:lineRule="auto"/>
        <w:ind w:left="35" w:right="0"/>
        <w:jc w:val="left"/>
      </w:pPr>
      <w:hyperlink r:id="rId76">
        <w:r>
          <w:rPr>
            <w:color w:val="2205FC"/>
            <w:u w:val="single" w:color="2205FC"/>
          </w:rPr>
          <w:t>Decisão nº 3684/2024</w:t>
        </w:r>
      </w:hyperlink>
    </w:p>
    <w:p w14:paraId="06E25553" w14:textId="77777777" w:rsidR="00EC412A" w:rsidRDefault="00000000">
      <w:pPr>
        <w:spacing w:after="167" w:line="265" w:lineRule="auto"/>
        <w:ind w:left="35" w:right="0"/>
        <w:jc w:val="left"/>
      </w:pPr>
      <w:hyperlink r:id="rId77">
        <w:r>
          <w:rPr>
            <w:color w:val="2205FC"/>
            <w:u w:val="single" w:color="2205FC"/>
          </w:rPr>
          <w:t>Decisão nº 3781/2024</w:t>
        </w:r>
      </w:hyperlink>
    </w:p>
    <w:p w14:paraId="33F01470" w14:textId="77777777" w:rsidR="00EC412A" w:rsidRDefault="00000000">
      <w:pPr>
        <w:spacing w:after="167" w:line="265" w:lineRule="auto"/>
        <w:ind w:left="35" w:right="0"/>
        <w:jc w:val="left"/>
      </w:pPr>
      <w:hyperlink r:id="rId78">
        <w:r>
          <w:rPr>
            <w:color w:val="2205FC"/>
            <w:u w:val="single" w:color="2205FC"/>
          </w:rPr>
          <w:t>Decisão nº 3791/2024</w:t>
        </w:r>
      </w:hyperlink>
    </w:p>
    <w:p w14:paraId="1C4CEAE0" w14:textId="77777777" w:rsidR="00EC412A" w:rsidRDefault="00000000">
      <w:pPr>
        <w:spacing w:after="167" w:line="265" w:lineRule="auto"/>
        <w:ind w:left="35" w:right="0"/>
        <w:jc w:val="left"/>
      </w:pPr>
      <w:hyperlink r:id="rId79">
        <w:r>
          <w:rPr>
            <w:color w:val="2205FC"/>
            <w:u w:val="single" w:color="2205FC"/>
          </w:rPr>
          <w:t>Decisão nº 3778/2024</w:t>
        </w:r>
      </w:hyperlink>
    </w:p>
    <w:p w14:paraId="4DDB5337" w14:textId="77777777" w:rsidR="00EC412A" w:rsidRDefault="00000000">
      <w:pPr>
        <w:spacing w:after="167" w:line="265" w:lineRule="auto"/>
        <w:ind w:left="35" w:right="0"/>
        <w:jc w:val="left"/>
      </w:pPr>
      <w:hyperlink r:id="rId80">
        <w:r>
          <w:rPr>
            <w:color w:val="2205FC"/>
            <w:u w:val="single" w:color="2205FC"/>
          </w:rPr>
          <w:t>Decisão nº 3827/2024</w:t>
        </w:r>
      </w:hyperlink>
    </w:p>
    <w:p w14:paraId="72143587" w14:textId="77777777" w:rsidR="00EC412A" w:rsidRDefault="00000000">
      <w:pPr>
        <w:spacing w:after="167" w:line="265" w:lineRule="auto"/>
        <w:ind w:left="35" w:right="0"/>
        <w:jc w:val="left"/>
      </w:pPr>
      <w:hyperlink r:id="rId81">
        <w:r>
          <w:rPr>
            <w:color w:val="2205FC"/>
            <w:u w:val="single" w:color="2205FC"/>
          </w:rPr>
          <w:t>Decisão nº 3929/2024</w:t>
        </w:r>
      </w:hyperlink>
    </w:p>
    <w:p w14:paraId="0C566000" w14:textId="77777777" w:rsidR="00EC412A" w:rsidRDefault="00000000">
      <w:pPr>
        <w:spacing w:after="167" w:line="265" w:lineRule="auto"/>
        <w:ind w:left="35" w:right="0"/>
        <w:jc w:val="left"/>
      </w:pPr>
      <w:hyperlink r:id="rId82">
        <w:r>
          <w:rPr>
            <w:color w:val="2205FC"/>
            <w:u w:val="single" w:color="2205FC"/>
          </w:rPr>
          <w:t>Decisão nº 3919/2024</w:t>
        </w:r>
      </w:hyperlink>
    </w:p>
    <w:p w14:paraId="68AD9F76" w14:textId="77777777" w:rsidR="00EC412A" w:rsidRDefault="00000000">
      <w:pPr>
        <w:spacing w:after="167" w:line="265" w:lineRule="auto"/>
        <w:ind w:left="35" w:right="0"/>
        <w:jc w:val="left"/>
      </w:pPr>
      <w:hyperlink r:id="rId83">
        <w:r>
          <w:rPr>
            <w:color w:val="2205FC"/>
            <w:u w:val="single" w:color="2205FC"/>
          </w:rPr>
          <w:t>Decisão nº 3933/2024</w:t>
        </w:r>
      </w:hyperlink>
    </w:p>
    <w:p w14:paraId="67CB6C4C" w14:textId="77777777" w:rsidR="00EC412A" w:rsidRDefault="00000000">
      <w:pPr>
        <w:spacing w:after="167" w:line="265" w:lineRule="auto"/>
        <w:ind w:left="35" w:right="0"/>
        <w:jc w:val="left"/>
      </w:pPr>
      <w:hyperlink r:id="rId84">
        <w:r>
          <w:rPr>
            <w:color w:val="2205FC"/>
            <w:u w:val="single" w:color="2205FC"/>
          </w:rPr>
          <w:t>Decisão nº 4030/2024</w:t>
        </w:r>
      </w:hyperlink>
    </w:p>
    <w:p w14:paraId="0206982C" w14:textId="77777777" w:rsidR="00EC412A" w:rsidRDefault="00000000">
      <w:pPr>
        <w:spacing w:after="167" w:line="265" w:lineRule="auto"/>
        <w:ind w:left="35" w:right="0"/>
        <w:jc w:val="left"/>
      </w:pPr>
      <w:hyperlink r:id="rId85">
        <w:r>
          <w:rPr>
            <w:color w:val="2205FC"/>
            <w:u w:val="single" w:color="2205FC"/>
          </w:rPr>
          <w:t>Decisão nº 4049/2024</w:t>
        </w:r>
      </w:hyperlink>
    </w:p>
    <w:p w14:paraId="52088D6D" w14:textId="77777777" w:rsidR="00EC412A" w:rsidRDefault="00000000">
      <w:pPr>
        <w:spacing w:after="167" w:line="265" w:lineRule="auto"/>
        <w:ind w:left="35" w:right="0"/>
        <w:jc w:val="left"/>
      </w:pPr>
      <w:hyperlink r:id="rId86">
        <w:r>
          <w:rPr>
            <w:color w:val="2205FC"/>
            <w:u w:val="single" w:color="2205FC"/>
          </w:rPr>
          <w:t>Decisão nº 4024/2024</w:t>
        </w:r>
      </w:hyperlink>
    </w:p>
    <w:p w14:paraId="2D266658" w14:textId="77777777" w:rsidR="00EC412A" w:rsidRDefault="00000000">
      <w:pPr>
        <w:spacing w:after="167" w:line="265" w:lineRule="auto"/>
        <w:ind w:left="35" w:right="0"/>
        <w:jc w:val="left"/>
      </w:pPr>
      <w:hyperlink r:id="rId87">
        <w:r>
          <w:rPr>
            <w:color w:val="2205FC"/>
            <w:u w:val="single" w:color="2205FC"/>
          </w:rPr>
          <w:t>Decisão nº 4152/2024</w:t>
        </w:r>
      </w:hyperlink>
    </w:p>
    <w:p w14:paraId="3530FCFC" w14:textId="77777777" w:rsidR="00EC412A" w:rsidRDefault="00000000">
      <w:pPr>
        <w:spacing w:after="167" w:line="265" w:lineRule="auto"/>
        <w:ind w:left="35" w:right="0"/>
        <w:jc w:val="left"/>
      </w:pPr>
      <w:hyperlink r:id="rId88">
        <w:r>
          <w:rPr>
            <w:color w:val="2205FC"/>
            <w:u w:val="single" w:color="2205FC"/>
          </w:rPr>
          <w:t>Decisão nº 4269/2024</w:t>
        </w:r>
      </w:hyperlink>
    </w:p>
    <w:p w14:paraId="3366202C" w14:textId="77777777" w:rsidR="00EC412A" w:rsidRDefault="00000000">
      <w:pPr>
        <w:spacing w:after="167" w:line="265" w:lineRule="auto"/>
        <w:ind w:left="35" w:right="0"/>
        <w:jc w:val="left"/>
      </w:pPr>
      <w:hyperlink r:id="rId89">
        <w:r>
          <w:rPr>
            <w:color w:val="2205FC"/>
            <w:u w:val="single" w:color="2205FC"/>
          </w:rPr>
          <w:t xml:space="preserve">Decisão nº 4258/2024 </w:t>
        </w:r>
      </w:hyperlink>
      <w:hyperlink r:id="rId90">
        <w:r>
          <w:rPr>
            <w:color w:val="2205FC"/>
            <w:u w:val="single" w:color="2205FC"/>
          </w:rPr>
          <w:t>Decisão nº 4270/2024</w:t>
        </w:r>
      </w:hyperlink>
    </w:p>
    <w:p w14:paraId="6FECFC8B" w14:textId="77777777" w:rsidR="00EC412A" w:rsidRDefault="00000000">
      <w:pPr>
        <w:spacing w:after="14687" w:line="265" w:lineRule="auto"/>
        <w:ind w:left="35" w:right="0"/>
        <w:jc w:val="left"/>
      </w:pPr>
      <w:hyperlink r:id="rId91">
        <w:r>
          <w:rPr>
            <w:color w:val="2205FC"/>
            <w:u w:val="single" w:color="2205FC"/>
          </w:rPr>
          <w:t>Decisão nº 4579/2024</w:t>
        </w:r>
      </w:hyperlink>
    </w:p>
    <w:p w14:paraId="71A1420D" w14:textId="77777777" w:rsidR="00EC412A" w:rsidRDefault="00000000">
      <w:pPr>
        <w:spacing w:after="0" w:line="259" w:lineRule="auto"/>
        <w:ind w:left="10" w:right="1993"/>
        <w:jc w:val="right"/>
      </w:pPr>
      <w:r>
        <w:rPr>
          <w:color w:val="FFFFFF"/>
        </w:rPr>
        <w:t>Coordenadoria de Biblioteca, Gestão da Informação e do Conhecimento – COBGI</w:t>
      </w:r>
    </w:p>
    <w:p w14:paraId="526FD9BE" w14:textId="77777777" w:rsidR="00EC412A" w:rsidRDefault="00000000">
      <w:pPr>
        <w:spacing w:after="0" w:line="259" w:lineRule="auto"/>
        <w:ind w:left="10" w:right="2353"/>
        <w:jc w:val="right"/>
      </w:pPr>
      <w:r>
        <w:rPr>
          <w:color w:val="FFFFFF"/>
        </w:rPr>
        <w:t>Supervisão de Sistemas de Informação, Legislação e Jurisprudência - SSI</w:t>
      </w:r>
    </w:p>
    <w:p w14:paraId="280132F4" w14:textId="77777777" w:rsidR="00EC412A" w:rsidRDefault="00000000">
      <w:pPr>
        <w:spacing w:after="0" w:line="259" w:lineRule="auto"/>
        <w:ind w:left="1980" w:right="0" w:firstLine="0"/>
        <w:jc w:val="left"/>
      </w:pPr>
      <w:r>
        <w:rPr>
          <w:b/>
          <w:color w:val="FFFFFF"/>
        </w:rPr>
        <w:t xml:space="preserve">Telefone: </w:t>
      </w:r>
      <w:r>
        <w:rPr>
          <w:color w:val="FFFFFF"/>
        </w:rPr>
        <w:t xml:space="preserve">(61) 3314-2226/2593/2259 </w:t>
      </w:r>
      <w:r>
        <w:rPr>
          <w:b/>
          <w:color w:val="FFFFFF"/>
        </w:rPr>
        <w:t xml:space="preserve">email: </w:t>
      </w:r>
      <w:r>
        <w:rPr>
          <w:color w:val="FFFFFF"/>
        </w:rPr>
        <w:t>jurisprudencia@tc.df.gov.br</w:t>
      </w:r>
    </w:p>
    <w:sectPr w:rsidR="00EC412A">
      <w:headerReference w:type="even" r:id="rId92"/>
      <w:headerReference w:type="default" r:id="rId93"/>
      <w:footerReference w:type="even" r:id="rId94"/>
      <w:footerReference w:type="default" r:id="rId95"/>
      <w:headerReference w:type="first" r:id="rId96"/>
      <w:footerReference w:type="first" r:id="rId97"/>
      <w:pgSz w:w="11900" w:h="16840"/>
      <w:pgMar w:top="442" w:right="357" w:bottom="387"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E67CA" w14:textId="77777777" w:rsidR="00043DEF" w:rsidRDefault="00043DEF">
      <w:pPr>
        <w:spacing w:after="0" w:line="240" w:lineRule="auto"/>
      </w:pPr>
      <w:r>
        <w:separator/>
      </w:r>
    </w:p>
  </w:endnote>
  <w:endnote w:type="continuationSeparator" w:id="0">
    <w:p w14:paraId="7956434A" w14:textId="77777777" w:rsidR="00043DEF" w:rsidRDefault="00043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EC412A" w14:paraId="4D7E34FE" w14:textId="77777777">
      <w:trPr>
        <w:trHeight w:val="1200"/>
      </w:trPr>
      <w:tc>
        <w:tcPr>
          <w:tcW w:w="11900" w:type="dxa"/>
          <w:tcBorders>
            <w:top w:val="nil"/>
            <w:left w:val="nil"/>
            <w:bottom w:val="nil"/>
            <w:right w:val="nil"/>
          </w:tcBorders>
          <w:shd w:val="clear" w:color="auto" w:fill="01447F"/>
          <w:vAlign w:val="bottom"/>
        </w:tcPr>
        <w:p w14:paraId="7D660296" w14:textId="77777777" w:rsidR="00EC412A"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7DC3E1E4" w14:textId="77777777" w:rsidR="00EC412A" w:rsidRDefault="00EC412A">
    <w:pPr>
      <w:spacing w:after="0" w:line="259" w:lineRule="auto"/>
      <w:ind w:left="-700" w:right="11543"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EC412A" w14:paraId="68A65F70" w14:textId="77777777">
      <w:trPr>
        <w:trHeight w:val="1200"/>
      </w:trPr>
      <w:tc>
        <w:tcPr>
          <w:tcW w:w="11900" w:type="dxa"/>
          <w:tcBorders>
            <w:top w:val="nil"/>
            <w:left w:val="nil"/>
            <w:bottom w:val="nil"/>
            <w:right w:val="nil"/>
          </w:tcBorders>
          <w:shd w:val="clear" w:color="auto" w:fill="01447F"/>
          <w:vAlign w:val="bottom"/>
        </w:tcPr>
        <w:p w14:paraId="34FCFDEE" w14:textId="77777777" w:rsidR="00EC412A"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51A82C92" w14:textId="77777777" w:rsidR="00EC412A" w:rsidRDefault="00EC412A">
    <w:pPr>
      <w:spacing w:after="0" w:line="259" w:lineRule="auto"/>
      <w:ind w:left="-700" w:right="11543"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EC412A" w14:paraId="4FE46831" w14:textId="77777777">
      <w:trPr>
        <w:trHeight w:val="1200"/>
      </w:trPr>
      <w:tc>
        <w:tcPr>
          <w:tcW w:w="11900" w:type="dxa"/>
          <w:tcBorders>
            <w:top w:val="nil"/>
            <w:left w:val="nil"/>
            <w:bottom w:val="nil"/>
            <w:right w:val="nil"/>
          </w:tcBorders>
          <w:shd w:val="clear" w:color="auto" w:fill="01447F"/>
          <w:vAlign w:val="bottom"/>
        </w:tcPr>
        <w:p w14:paraId="7D235798" w14:textId="77777777" w:rsidR="00EC412A" w:rsidRDefault="00000000">
          <w:pPr>
            <w:spacing w:after="0" w:line="259" w:lineRule="auto"/>
            <w:ind w:left="0" w:righ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14:paraId="087DF0F4" w14:textId="77777777" w:rsidR="00EC412A" w:rsidRDefault="00EC412A">
    <w:pPr>
      <w:spacing w:after="0" w:line="259" w:lineRule="auto"/>
      <w:ind w:left="-700" w:right="11543"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8837" w14:textId="77777777" w:rsidR="00043DEF" w:rsidRDefault="00043DEF">
      <w:pPr>
        <w:spacing w:after="0" w:line="240" w:lineRule="auto"/>
      </w:pPr>
      <w:r>
        <w:separator/>
      </w:r>
    </w:p>
  </w:footnote>
  <w:footnote w:type="continuationSeparator" w:id="0">
    <w:p w14:paraId="487BD7A3" w14:textId="77777777" w:rsidR="00043DEF" w:rsidRDefault="00043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4C1D" w14:textId="77777777" w:rsidR="00EC412A" w:rsidRDefault="00000000">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F42E448" wp14:editId="243C82C9">
              <wp:simplePos x="0" y="0"/>
              <wp:positionH relativeFrom="page">
                <wp:posOffset>0</wp:posOffset>
              </wp:positionH>
              <wp:positionV relativeFrom="page">
                <wp:posOffset>0</wp:posOffset>
              </wp:positionV>
              <wp:extent cx="406400" cy="9931400"/>
              <wp:effectExtent l="0" t="0" r="0" b="0"/>
              <wp:wrapNone/>
              <wp:docPr id="7734" name="Group 7734"/>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8258" name="Shape 8258"/>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734" style="width:32pt;height:782pt;position:absolute;z-index:-2147483648;mso-position-horizontal-relative:page;mso-position-horizontal:absolute;margin-left:0pt;mso-position-vertical-relative:page;margin-top:0pt;" coordsize="4064,99314">
              <v:shape id="Shape 8259"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33EF" w14:textId="77777777" w:rsidR="00EC412A"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07230B0" wp14:editId="77C29757">
              <wp:simplePos x="0" y="0"/>
              <wp:positionH relativeFrom="page">
                <wp:posOffset>0</wp:posOffset>
              </wp:positionH>
              <wp:positionV relativeFrom="page">
                <wp:posOffset>0</wp:posOffset>
              </wp:positionV>
              <wp:extent cx="406400" cy="9931400"/>
              <wp:effectExtent l="0" t="0" r="0" b="0"/>
              <wp:wrapNone/>
              <wp:docPr id="7719" name="Group 7719"/>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8256" name="Shape 8256"/>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719" style="width:32pt;height:782pt;position:absolute;z-index:-2147483648;mso-position-horizontal-relative:page;mso-position-horizontal:absolute;margin-left:0pt;mso-position-vertical-relative:page;margin-top:0pt;" coordsize="4064,99314">
              <v:shape id="Shape 8257"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9098" w14:textId="77777777" w:rsidR="00EC412A"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7F34E8C7" wp14:editId="2BD30405">
              <wp:simplePos x="0" y="0"/>
              <wp:positionH relativeFrom="page">
                <wp:posOffset>0</wp:posOffset>
              </wp:positionH>
              <wp:positionV relativeFrom="page">
                <wp:posOffset>0</wp:posOffset>
              </wp:positionV>
              <wp:extent cx="406400" cy="9931400"/>
              <wp:effectExtent l="0" t="0" r="0" b="0"/>
              <wp:wrapNone/>
              <wp:docPr id="7704" name="Group 7704"/>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8254" name="Shape 8254"/>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704" style="width:32pt;height:782pt;position:absolute;z-index:-2147483648;mso-position-horizontal-relative:page;mso-position-horizontal:absolute;margin-left:0pt;mso-position-vertical-relative:page;margin-top:0pt;" coordsize="4064,99314">
              <v:shape id="Shape 8255"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37F"/>
    <w:multiLevelType w:val="hybridMultilevel"/>
    <w:tmpl w:val="C17C3F30"/>
    <w:lvl w:ilvl="0" w:tplc="A70E6ACA">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96C2D4">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B92D7BC">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ACCCDA">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108A84">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7AA01C">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BC845A">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A80FCE">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FE7834">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58B0C4E"/>
    <w:multiLevelType w:val="hybridMultilevel"/>
    <w:tmpl w:val="78E8E9BA"/>
    <w:lvl w:ilvl="0" w:tplc="3F68D52E">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2057F6">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72E9B0">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20E50E">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8A3BC4">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64DFCE">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08A00E">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FEC5BA">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FA573E">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ADD5D27"/>
    <w:multiLevelType w:val="hybridMultilevel"/>
    <w:tmpl w:val="ED080270"/>
    <w:lvl w:ilvl="0" w:tplc="DCD0B0B4">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704556">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D8F906">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1EFB5A">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6E3DF6">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B294F2">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1CB702">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3695D2">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584134">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E033A21"/>
    <w:multiLevelType w:val="hybridMultilevel"/>
    <w:tmpl w:val="6AD01D44"/>
    <w:lvl w:ilvl="0" w:tplc="045A7470">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92958C">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B4C2B0">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2EE0C2">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9ACF72">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94CAC52">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4E6CA8C">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D87516">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261F9C">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52912256">
    <w:abstractNumId w:val="2"/>
  </w:num>
  <w:num w:numId="2" w16cid:durableId="198667602">
    <w:abstractNumId w:val="1"/>
  </w:num>
  <w:num w:numId="3" w16cid:durableId="490558158">
    <w:abstractNumId w:val="0"/>
  </w:num>
  <w:num w:numId="4" w16cid:durableId="437798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12A"/>
    <w:rsid w:val="00043DEF"/>
    <w:rsid w:val="00CD2977"/>
    <w:rsid w:val="00EC412A"/>
    <w:rsid w:val="00FC5E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F6E4"/>
  <w15:docId w15:val="{B073AD58-D486-4A00-927E-696BCDC5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6" w:line="251" w:lineRule="auto"/>
      <w:ind w:left="30" w:right="1" w:hanging="10"/>
      <w:jc w:val="both"/>
    </w:pPr>
    <w:rPr>
      <w:rFonts w:ascii="Arial" w:eastAsia="Arial" w:hAnsi="Arial" w:cs="Arial"/>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1-2014/2014/lei/l13019.htm" TargetMode="External"/><Relationship Id="rId21" Type="http://schemas.openxmlformats.org/officeDocument/2006/relationships/hyperlink" Target="https://etcdf.tc.df.gov.br/?a=consultaETCDF&amp;f=formPrincipal&amp;edoc=7F60A806" TargetMode="External"/><Relationship Id="rId34" Type="http://schemas.openxmlformats.org/officeDocument/2006/relationships/hyperlink" Target="https://etcdf.tc.df.gov.br/?a=consultaETCDF&amp;f=formPrincipal&amp;edoc=DCE6883D" TargetMode="External"/><Relationship Id="rId42" Type="http://schemas.openxmlformats.org/officeDocument/2006/relationships/hyperlink" Target="http://www.planalto.gov.br/ccivil_03/_ato2015-2018/2016/lei/l1330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s://etcdf.tc.df.gov.br/?a=consultaETCDF&amp;f=formPrincipal&amp;edoc=6D4FB1A3" TargetMode="External"/><Relationship Id="rId55" Type="http://schemas.openxmlformats.org/officeDocument/2006/relationships/hyperlink" Target="https://etcdf.tc.df.gov.br/?a=consultaETCDF&amp;f=formPrincipal&amp;edoc=8E8DD646" TargetMode="External"/><Relationship Id="rId63" Type="http://schemas.openxmlformats.org/officeDocument/2006/relationships/hyperlink" Target="https://etcdf.tc.df.gov.br/?a=consultaETCDF&amp;f=formPrincipal&amp;edoc=C73CEB27" TargetMode="External"/><Relationship Id="rId68" Type="http://schemas.openxmlformats.org/officeDocument/2006/relationships/hyperlink" Target="https://etcdf.tc.df.gov.br/?a=consultaETCDF&amp;f=formPrincipal&amp;edoc=6EB14E06" TargetMode="External"/><Relationship Id="rId76" Type="http://schemas.openxmlformats.org/officeDocument/2006/relationships/hyperlink" Target="https://etcdf.tc.df.gov.br/?a=consultaETCDF&amp;f=formPrincipal&amp;edoc=0B60C45C" TargetMode="External"/><Relationship Id="rId84" Type="http://schemas.openxmlformats.org/officeDocument/2006/relationships/hyperlink" Target="https://etcdf.tc.df.gov.br/?a=consultaETCDF&amp;f=formPrincipal&amp;edoc=AC0E1F2B" TargetMode="External"/><Relationship Id="rId89" Type="http://schemas.openxmlformats.org/officeDocument/2006/relationships/hyperlink" Target="https://etcdf.tc.df.gov.br/?a=consultaETCDF&amp;f=formPrincipal&amp;edoc=CDCE6D47" TargetMode="External"/><Relationship Id="rId97" Type="http://schemas.openxmlformats.org/officeDocument/2006/relationships/footer" Target="footer3.xml"/><Relationship Id="rId7" Type="http://schemas.openxmlformats.org/officeDocument/2006/relationships/image" Target="media/image1.jpg"/><Relationship Id="rId71" Type="http://schemas.openxmlformats.org/officeDocument/2006/relationships/hyperlink" Target="https://etcdf.tc.df.gov.br/?a=consultaETCDF&amp;f=formPrincipal&amp;edoc=D1DF0B11"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lanalto.gov.br/ccivil_03/_Ato2015-2018/2018/Lei/L13655.htm" TargetMode="External"/><Relationship Id="rId29" Type="http://schemas.openxmlformats.org/officeDocument/2006/relationships/hyperlink" Target="https://etcdf.tc.df.gov.br/?a=consultaETCDF&amp;f=formPrincipal&amp;edoc=9F9BC1AA" TargetMode="External"/><Relationship Id="rId11" Type="http://schemas.openxmlformats.org/officeDocument/2006/relationships/hyperlink" Target="https://etcdf.tc.df.gov.br/?a=consultaETCDF&amp;f=formPrincipal&amp;edoc=8EB756E4" TargetMode="External"/><Relationship Id="rId24" Type="http://schemas.openxmlformats.org/officeDocument/2006/relationships/hyperlink" Target="https://etcdf.tc.df.gov.br/?a=consultaETCDF&amp;f=formPrincipal&amp;edoc=5E719508"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5-2018/2016/lei/l13303.htm" TargetMode="External"/><Relationship Id="rId45" Type="http://schemas.openxmlformats.org/officeDocument/2006/relationships/hyperlink" Target="https://etcdf.tc.df.gov.br/?a=consultaETCDF&amp;f=formPrincipal&amp;edoc=4CC42AD8" TargetMode="External"/><Relationship Id="rId53" Type="http://schemas.openxmlformats.org/officeDocument/2006/relationships/hyperlink" Target="https://www.sinj.df.gov.br/sinj/Norma/4910d6bd8cc641cb9e788806637dd07c/exec_dec_45011_2023.html" TargetMode="External"/><Relationship Id="rId58" Type="http://schemas.openxmlformats.org/officeDocument/2006/relationships/hyperlink" Target="https://etcdf.tc.df.gov.br/?a=consultaETCDF&amp;f=formPrincipal&amp;edoc=FC167463" TargetMode="External"/><Relationship Id="rId66" Type="http://schemas.openxmlformats.org/officeDocument/2006/relationships/hyperlink" Target="https://etcdf.tc.df.gov.br/?a=consultaETCDF&amp;f=formPrincipal&amp;edoc=5739557F" TargetMode="External"/><Relationship Id="rId74" Type="http://schemas.openxmlformats.org/officeDocument/2006/relationships/hyperlink" Target="https://etcdf.tc.df.gov.br/?a=consultaETCDF&amp;f=formPrincipal&amp;edoc=83D54225" TargetMode="External"/><Relationship Id="rId79" Type="http://schemas.openxmlformats.org/officeDocument/2006/relationships/hyperlink" Target="https://etcdf.tc.df.gov.br/?a=consultaETCDF&amp;f=formPrincipal&amp;edoc=996211BB" TargetMode="External"/><Relationship Id="rId87" Type="http://schemas.openxmlformats.org/officeDocument/2006/relationships/hyperlink" Target="https://etcdf.tc.df.gov.br/?a=consultaETCDF&amp;f=formPrincipal&amp;edoc=11CF8042" TargetMode="External"/><Relationship Id="rId5" Type="http://schemas.openxmlformats.org/officeDocument/2006/relationships/footnotes" Target="footnotes.xml"/><Relationship Id="rId61" Type="http://schemas.openxmlformats.org/officeDocument/2006/relationships/hyperlink" Target="https://etcdf.tc.df.gov.br/?a=consultaETCDF&amp;f=formPrincipal&amp;edoc=6F7D2D72" TargetMode="External"/><Relationship Id="rId82" Type="http://schemas.openxmlformats.org/officeDocument/2006/relationships/hyperlink" Target="https://etcdf.tc.df.gov.br/?a=consultaETCDF&amp;f=formPrincipal&amp;edoc=59389CA4" TargetMode="External"/><Relationship Id="rId90" Type="http://schemas.openxmlformats.org/officeDocument/2006/relationships/hyperlink" Target="https://etcdf.tc.df.gov.br/?a=consultaETCDF&amp;f=formPrincipal&amp;edoc=99F863ED" TargetMode="External"/><Relationship Id="rId95" Type="http://schemas.openxmlformats.org/officeDocument/2006/relationships/footer" Target="footer2.xml"/><Relationship Id="rId19" Type="http://schemas.openxmlformats.org/officeDocument/2006/relationships/hyperlink" Target="https://etcdf.tc.df.gov.br/?a=consultaETCDF&amp;f=formPrincipal&amp;edoc=1E65128C"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etcdf.tc.df.gov.br/?a=consultaETCDF&amp;f=formPrincipal&amp;edoc=480E7911" TargetMode="External"/><Relationship Id="rId27" Type="http://schemas.openxmlformats.org/officeDocument/2006/relationships/hyperlink" Target="http://www.sinj.df.gov.br/sinj/DetalhesDeNorma.aspx?id_norma=dafaadb15ff3452f82afc4390b5ee432" TargetMode="External"/><Relationship Id="rId30" Type="http://schemas.openxmlformats.org/officeDocument/2006/relationships/hyperlink" Target="https://pesquisa.apps.tcu.gov.br/resultado/sumula/*/NUMERO%253A247/sinonimos%253Dtrue" TargetMode="External"/><Relationship Id="rId35" Type="http://schemas.openxmlformats.org/officeDocument/2006/relationships/hyperlink" Target="https://etcdf.tc.df.gov.br/?a=consultaETCDF&amp;f=formPrincipal&amp;edoc=2F6EC75A" TargetMode="External"/><Relationship Id="rId43" Type="http://schemas.openxmlformats.org/officeDocument/2006/relationships/hyperlink" Target="http://www.planalto.gov.br/ccivil_03/_ato2015-2018/2016/lei/l13303.htm" TargetMode="External"/><Relationship Id="rId48" Type="http://schemas.openxmlformats.org/officeDocument/2006/relationships/hyperlink" Target="https://etcdf.tc.df.gov.br/?a=consultaETCDF&amp;f=formPrincipal&amp;edoc=E01F935C" TargetMode="External"/><Relationship Id="rId56" Type="http://schemas.openxmlformats.org/officeDocument/2006/relationships/hyperlink" Target="https://etcdf.tc.df.gov.br/?a=consultaETCDF&amp;f=formPrincipal&amp;edoc=566C7F10" TargetMode="External"/><Relationship Id="rId64" Type="http://schemas.openxmlformats.org/officeDocument/2006/relationships/hyperlink" Target="https://etcdf.tc.df.gov.br/?a=consultaETCDF&amp;f=formPrincipal&amp;edoc=A9F8CE6B" TargetMode="External"/><Relationship Id="rId69" Type="http://schemas.openxmlformats.org/officeDocument/2006/relationships/hyperlink" Target="https://etcdf.tc.df.gov.br/?a=consultaETCDF&amp;f=formPrincipal&amp;edoc=7075D03C" TargetMode="External"/><Relationship Id="rId77" Type="http://schemas.openxmlformats.org/officeDocument/2006/relationships/hyperlink" Target="https://etcdf.tc.df.gov.br/?a=consultaETCDF&amp;f=formPrincipal&amp;edoc=E7040ACD" TargetMode="External"/><Relationship Id="rId8" Type="http://schemas.openxmlformats.org/officeDocument/2006/relationships/image" Target="media/image2.png"/><Relationship Id="rId51" Type="http://schemas.openxmlformats.org/officeDocument/2006/relationships/hyperlink" Target="http://www.planalto.gov.br/ccivil_03/leis/l8666cons.htm" TargetMode="External"/><Relationship Id="rId72" Type="http://schemas.openxmlformats.org/officeDocument/2006/relationships/hyperlink" Target="https://etcdf.tc.df.gov.br/?a=consultaETCDF&amp;f=formPrincipal&amp;edoc=E3E9FBB4" TargetMode="External"/><Relationship Id="rId80" Type="http://schemas.openxmlformats.org/officeDocument/2006/relationships/hyperlink" Target="https://etcdf.tc.df.gov.br/?a=consultaETCDF&amp;f=formPrincipal&amp;edoc=C1DB131D" TargetMode="External"/><Relationship Id="rId85" Type="http://schemas.openxmlformats.org/officeDocument/2006/relationships/hyperlink" Target="https://etcdf.tc.df.gov.br/?a=consultaETCDF&amp;f=formPrincipal&amp;edoc=1A544492" TargetMode="External"/><Relationship Id="rId93" Type="http://schemas.openxmlformats.org/officeDocument/2006/relationships/header" Target="header2.xm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etcdf.tc.df.gov.br/?a=consultaETCDF&amp;f=formPrincipal&amp;edoc=725A5B0E" TargetMode="External"/><Relationship Id="rId33" Type="http://schemas.openxmlformats.org/officeDocument/2006/relationships/hyperlink" Target="http://www.sinj.df.gov.br/sinj/DetalhesDeNorma.aspx?id_norma=51831"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s://www.sinj.df.gov.br/sinj/Norma/69169/Decis_o_Normativa_1_31_03_2011.html" TargetMode="External"/><Relationship Id="rId59" Type="http://schemas.openxmlformats.org/officeDocument/2006/relationships/hyperlink" Target="https://etcdf.tc.df.gov.br/?a=consultaETCDF&amp;f=formPrincipal&amp;edoc=362CBF28" TargetMode="External"/><Relationship Id="rId67" Type="http://schemas.openxmlformats.org/officeDocument/2006/relationships/hyperlink" Target="https://etcdf.tc.df.gov.br/?a=consultaETCDF&amp;f=formPrincipal&amp;edoc=3191E848" TargetMode="External"/><Relationship Id="rId20" Type="http://schemas.openxmlformats.org/officeDocument/2006/relationships/hyperlink" Target="https://etcdf.tc.df.gov.br/?a=consultaETCDF&amp;f=formPrincipal&amp;edoc=A4D48721" TargetMode="External"/><Relationship Id="rId41" Type="http://schemas.openxmlformats.org/officeDocument/2006/relationships/hyperlink" Target="http://www.planalto.gov.br/ccivil_03/_ato2015-2018/2016/lei/l13303.htm" TargetMode="External"/><Relationship Id="rId54" Type="http://schemas.openxmlformats.org/officeDocument/2006/relationships/hyperlink" Target="https://etcdf.tc.df.gov.br/?a=consultaETCDF&amp;f=formPrincipal&amp;edoc=E246E73F" TargetMode="External"/><Relationship Id="rId62" Type="http://schemas.openxmlformats.org/officeDocument/2006/relationships/hyperlink" Target="https://etcdf.tc.df.gov.br/?a=consultaETCDF&amp;f=formPrincipal&amp;edoc=10EAE12B" TargetMode="External"/><Relationship Id="rId70" Type="http://schemas.openxmlformats.org/officeDocument/2006/relationships/hyperlink" Target="https://etcdf.tc.df.gov.br/?a=consultaETCDF&amp;f=formPrincipal&amp;edoc=4B64C726" TargetMode="External"/><Relationship Id="rId75" Type="http://schemas.openxmlformats.org/officeDocument/2006/relationships/hyperlink" Target="https://etcdf.tc.df.gov.br/?a=consultaETCDF&amp;f=formPrincipal&amp;edoc=2D9DBBF9" TargetMode="External"/><Relationship Id="rId83" Type="http://schemas.openxmlformats.org/officeDocument/2006/relationships/hyperlink" Target="https://etcdf.tc.df.gov.br/?a=consultaETCDF&amp;f=formPrincipal&amp;edoc=3E337237" TargetMode="External"/><Relationship Id="rId88" Type="http://schemas.openxmlformats.org/officeDocument/2006/relationships/hyperlink" Target="https://etcdf.tc.df.gov.br/?a=consultaETCDF&amp;f=formPrincipal&amp;edoc=55C96976" TargetMode="External"/><Relationship Id="rId91" Type="http://schemas.openxmlformats.org/officeDocument/2006/relationships/hyperlink" Target="https://etcdf.tc.df.gov.br/?a=consultaETCDF&amp;f=formPrincipal&amp;edoc=939A5499" TargetMode="External"/><Relationship Id="rId9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tcdf.tc.df.gov.br/?a=consultaETCDF&amp;f=formPrincipal&amp;edoc=679D2096" TargetMode="External"/><Relationship Id="rId23" Type="http://schemas.openxmlformats.org/officeDocument/2006/relationships/hyperlink" Target="https://etcdf.tc.df.gov.br/?a=consultaETCDF&amp;f=formPrincipal&amp;edoc=BFDC4242" TargetMode="External"/><Relationship Id="rId28" Type="http://schemas.openxmlformats.org/officeDocument/2006/relationships/hyperlink" Target="https://etcdf.tc.df.gov.br/?a=consultaETCDF&amp;f=formPrincipal&amp;edoc=E6F0BD14"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s://etcdf.tc.df.gov.br/?a=consultaETCDF&amp;f=formPrincipal&amp;edoc=3452508D" TargetMode="External"/><Relationship Id="rId57" Type="http://schemas.openxmlformats.org/officeDocument/2006/relationships/hyperlink" Target="https://etcdf.tc.df.gov.br/?a=consultaETCDF&amp;f=formPrincipal&amp;edoc=5212ECF7" TargetMode="External"/><Relationship Id="rId10" Type="http://schemas.openxmlformats.org/officeDocument/2006/relationships/image" Target="media/image1.png"/><Relationship Id="rId31" Type="http://schemas.openxmlformats.org/officeDocument/2006/relationships/hyperlink" Target="https://pesquisa.apps.tcu.gov.br/documento/acordao-completo/*/NUMACORDAO%253A1435%2520/DTRELEVANCIA%2520desc%252C%2520NUMACORDAOINT%2520desc/0" TargetMode="External"/><Relationship Id="rId44" Type="http://schemas.openxmlformats.org/officeDocument/2006/relationships/hyperlink" Target="https://etcdf.tc.df.gov.br/?a=consultaETCDF&amp;f=formPrincipal&amp;edoc=DA508EFE"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etcdf.tc.df.gov.br/?a=consultaETCDF&amp;f=formPrincipal&amp;edoc=7C4636F0" TargetMode="External"/><Relationship Id="rId65" Type="http://schemas.openxmlformats.org/officeDocument/2006/relationships/hyperlink" Target="https://etcdf.tc.df.gov.br/?a=consultaETCDF&amp;f=formPrincipal&amp;edoc=FBE1D7B6" TargetMode="External"/><Relationship Id="rId73" Type="http://schemas.openxmlformats.org/officeDocument/2006/relationships/hyperlink" Target="https://etcdf.tc.df.gov.br/?a=consultaETCDF&amp;f=formPrincipal&amp;edoc=AB7372DA" TargetMode="External"/><Relationship Id="rId78" Type="http://schemas.openxmlformats.org/officeDocument/2006/relationships/hyperlink" Target="https://etcdf.tc.df.gov.br/?a=consultaETCDF&amp;f=formPrincipal&amp;edoc=F6EAD59C" TargetMode="External"/><Relationship Id="rId81" Type="http://schemas.openxmlformats.org/officeDocument/2006/relationships/hyperlink" Target="https://etcdf.tc.df.gov.br/?a=consultaETCDF&amp;f=formPrincipal&amp;edoc=FFF79400" TargetMode="External"/><Relationship Id="rId86" Type="http://schemas.openxmlformats.org/officeDocument/2006/relationships/hyperlink" Target="https://etcdf.tc.df.gov.br/?a=consultaETCDF&amp;f=formPrincipal&amp;edoc=D3978AC3"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0.jpg"/><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etcdf.tc.df.gov.br/?a=consultaETCDF&amp;f=formPrincipal&amp;edoc=7477D11B" TargetMode="External"/><Relationship Id="rId39"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3574</Words>
  <Characters>19305</Characters>
  <Application>Microsoft Office Word</Application>
  <DocSecurity>0</DocSecurity>
  <Lines>160</Lines>
  <Paragraphs>45</Paragraphs>
  <ScaleCrop>false</ScaleCrop>
  <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2026-08-26T19:55:00Z</dcterms:created>
  <dcterms:modified xsi:type="dcterms:W3CDTF">2026-08-26T19:55:00Z</dcterms:modified>
</cp:coreProperties>
</file>