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10E0" w14:textId="77777777" w:rsidR="001F7740" w:rsidRDefault="00000000">
      <w:pPr>
        <w:spacing w:after="0"/>
        <w:ind w:left="-1440"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5E63F50" wp14:editId="1D17D4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TopAndBottom/>
                <wp:docPr id="876" name="Group 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wps:wsp>
                        <wps:cNvPr id="954" name="Shape 954"/>
                        <wps:cNvSpPr/>
                        <wps:spPr>
                          <a:xfrm>
                            <a:off x="0" y="0"/>
                            <a:ext cx="406400" cy="9931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0" h="9931400">
                                <a:moveTo>
                                  <a:pt x="0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9931400"/>
                                </a:lnTo>
                                <a:lnTo>
                                  <a:pt x="0" y="9931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9931400"/>
                            <a:ext cx="75565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7620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6742176" y="10123551"/>
                            <a:ext cx="375656" cy="624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148FB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8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533400" y="3041955"/>
                            <a:ext cx="9020673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6E6C1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Este boletim periódico apresenta um conjunto de decisões do Tribunal de Contas do Distrito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33400" y="3279953"/>
                            <a:ext cx="5502345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3503E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Federal (TCDF) que foram destacadas por sua relevância.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33400" y="3517951"/>
                            <a:ext cx="9020267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23256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As decisões estão expostas por meio de resumos produzidos pela Supervisão de Legislação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33400" y="3756076"/>
                            <a:ext cx="7005915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F330E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Jurisprudência - SLJ ou pela ementa dos votos dos Conselheiros Relatores.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33400" y="3994073"/>
                            <a:ext cx="9020200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EEA70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Importante destacar que as informações não são um resumo oficial, nem refletem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33400" y="4232072"/>
                            <a:ext cx="5184862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C17EB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necessariamente a opinião dominante do Tribunal.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33400" y="4470070"/>
                            <a:ext cx="6928621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A83806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Para detalhes, acesse os documentos do processo pelos links fornecidos.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903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6" name="Shape 956"/>
                        <wps:cNvSpPr/>
                        <wps:spPr>
                          <a:xfrm>
                            <a:off x="508000" y="1778000"/>
                            <a:ext cx="67818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0" h="762000">
                                <a:moveTo>
                                  <a:pt x="0" y="0"/>
                                </a:moveTo>
                                <a:lnTo>
                                  <a:pt x="6781800" y="0"/>
                                </a:lnTo>
                                <a:lnTo>
                                  <a:pt x="6781800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71500" y="1904644"/>
                            <a:ext cx="4454816" cy="328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372FB3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2"/>
                                </w:rPr>
                                <w:t>Boletim de Jurisprudência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71500" y="2215032"/>
                            <a:ext cx="3934455" cy="328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7AE24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2"/>
                                </w:rPr>
                                <w:t>Finanças Públicas, nº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3" name="Picture 9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60960"/>
                            <a:ext cx="7482840" cy="905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571500" y="2711755"/>
                            <a:ext cx="3695076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2FA4A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Sessões de julho a dezembro de 2024.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1905000" y="5346700"/>
                            <a:ext cx="368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00">
                                <a:moveTo>
                                  <a:pt x="0" y="0"/>
                                </a:moveTo>
                                <a:lnTo>
                                  <a:pt x="3683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63500" y="5803900"/>
                            <a:ext cx="3175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2540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254000"/>
                                </a:ln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72847" y="5841340"/>
                            <a:ext cx="131480" cy="218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189BF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457200" y="68338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A5FA6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" name="Rectangle 825"/>
                        <wps:cNvSpPr/>
                        <wps:spPr>
                          <a:xfrm>
                            <a:off x="527812" y="6833870"/>
                            <a:ext cx="9046011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2FA36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. A despeito da independência das instâncias, a pendência de processo judicial com idênticos pedido e causa de pedir,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57200" y="6981698"/>
                            <a:ext cx="912114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3280D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notadamente se em avançado estágio processual, pode ser justificativa ao sobrestamento do processo neste Tribunal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57200" y="7129526"/>
                            <a:ext cx="337225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C318A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Contas, a fim de evitar decisões conflitantes.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457200" y="7425183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A98BC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527812" y="7425183"/>
                            <a:ext cx="902722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F763A2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. A existência de decisões judiciais não transitadas em julgado em sentido contrário ao objeto da Representação afasta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57200" y="7573137"/>
                            <a:ext cx="775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637D5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o fumus boni iuris para o deferimento ou manutenção de medida cautelar por este Tribunal de Contas.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457200" y="7868794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3E8A0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" name="Rectangle 829"/>
                        <wps:cNvSpPr/>
                        <wps:spPr>
                          <a:xfrm>
                            <a:off x="527812" y="7868794"/>
                            <a:ext cx="902722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3193BD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. Na hipótese de Organização da Sociedade Civil que, a despeito da sua inscrição como inadimplente no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Siggo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, possuir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57200" y="8016621"/>
                            <a:ext cx="911995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11536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parceria pública em execução, cuja suspensão da transferência de novos recursos poderá ocasionar em prejuízo à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57200" y="8164449"/>
                            <a:ext cx="912181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756120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população, sobretudo vulnerável, a manutenção dos repasses poderá ser autorizada por meio do dirigente máximo 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57200" y="8312277"/>
                            <a:ext cx="789096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666D7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órgão ou entidade da administração pública, na forma do art. 39 § 1º, da Lei n.º 13.019/14 - MROSC.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57200" y="9272270"/>
                            <a:ext cx="205563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34AF8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Decisão por unanimidade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57200" y="9030970"/>
                            <a:ext cx="262840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95A29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André Clemente Lara De Oliveira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57200" y="8840470"/>
                            <a:ext cx="638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DA497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Relator: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683000" y="8840470"/>
                            <a:ext cx="64777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3EC55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Sessão: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683000" y="9030970"/>
                            <a:ext cx="28216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8DCD26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ORDINÁRIA nº 5397, de 25/09/2024.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44500" y="9589770"/>
                            <a:ext cx="187760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56D81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Decisões relacionadas: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57200" y="5830570"/>
                            <a:ext cx="912114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D1749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REPRESENTAÇÃO. SECRETARIA DE DESENVOLVIMENTO SOCIAL - SEDES/DF. POSSÍVEIS IRREGULARIDADES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57200" y="5978399"/>
                            <a:ext cx="912147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94E6C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NA CONDUÇÃO DE PROCESSO DE PRESTAÇÃO DE CONTAS. CONVÊNIO N.º 36/2009. SERVIÇO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57200" y="6126226"/>
                            <a:ext cx="912029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332BF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CONVIVÊNCIA A CRIANÇAS PERTENCENTES A FAMÍLIAS EM SITUAÇÃO DE RISCO E VULNERABILIDADE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57200" y="6274054"/>
                            <a:ext cx="9120971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C66DC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PESSOAL E SOCIAL. INSCRIÇÃO NO SIGGO. PARCERIA PÚBLICA EM EXECUÇÃO. SUSPENSÃO DOS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57200" y="6421882"/>
                            <a:ext cx="683359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F7956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REPASSES. AUTORIZAÇÃO DA MANUTENÇÃO. SOBRESTAMENTO DO FEITO.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3683000" y="9272270"/>
                            <a:ext cx="298717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5D20B" w14:textId="77777777" w:rsidR="001F7740" w:rsidRDefault="00000000">
                              <w:hyperlink r:id="rId6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Proc. nº 16204/2023 - Dec. nº 3712/202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5928995" y="92722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315F0" w14:textId="77777777" w:rsidR="001F7740" w:rsidRDefault="00000000">
                              <w:hyperlink r:id="rId7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76" style="width:595pt;height:842pt;position:absolute;mso-position-horizontal-relative:page;mso-position-horizontal:absolute;margin-left:0pt;mso-position-vertical-relative:page;margin-top:-7.62939e-06pt;" coordsize="75565,106934">
                <v:shape id="Shape 958" style="position:absolute;width:4064;height:99314;left:0;top:0;" coordsize="406400,9931400" path="m0,0l406400,0l406400,9931400l0,9931400l0,0">
                  <v:stroke weight="0pt" endcap="square" joinstyle="miter" miterlimit="10" on="false" color="#000000" opacity="0"/>
                  <v:fill on="true" color="#01447f"/>
                </v:shape>
                <v:shape id="Shape 959" style="position:absolute;width:75565;height:7620;left:0;top:99314;" coordsize="7556500,762000" path="m0,0l7556500,0l7556500,762000l0,762000l0,0">
                  <v:stroke weight="0pt" endcap="square" joinstyle="miter" miterlimit="10" on="false" color="#000000" opacity="0"/>
                  <v:fill on="true" color="#01447f"/>
                </v:shape>
                <v:rect id="Rectangle 8" style="position:absolute;width:3756;height:6249;left:67421;top:101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8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9" style="position:absolute;width:90206;height:1874;left:5334;top:30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    Este boletim periódico apresenta um conjunto de decisões do Tribunal de Contas do Distrito</w:t>
                        </w:r>
                      </w:p>
                    </w:txbxContent>
                  </v:textbox>
                </v:rect>
                <v:rect id="Rectangle 10" style="position:absolute;width:55023;height:1874;left:5334;top:32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Federal (TCDF) que foram destacadas por sua relevância.</w:t>
                        </w:r>
                      </w:p>
                    </w:txbxContent>
                  </v:textbox>
                </v:rect>
                <v:rect id="Rectangle 11" style="position:absolute;width:90202;height:1874;left:5334;top:35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    As decisões estão expostas por meio de resumos produzidos pela Supervisão de Legislação e</w:t>
                        </w:r>
                      </w:p>
                    </w:txbxContent>
                  </v:textbox>
                </v:rect>
                <v:rect id="Rectangle 12" style="position:absolute;width:70059;height:1874;left:5334;top:375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Jurisprudência - SLJ ou pela ementa dos votos dos Conselheiros Relatores.</w:t>
                        </w:r>
                      </w:p>
                    </w:txbxContent>
                  </v:textbox>
                </v:rect>
                <v:rect id="Rectangle 13" style="position:absolute;width:90202;height:1874;left:5334;top:399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    Importante destacar que as informações não são um resumo oficial, nem refletem</w:t>
                        </w:r>
                      </w:p>
                    </w:txbxContent>
                  </v:textbox>
                </v:rect>
                <v:rect id="Rectangle 14" style="position:absolute;width:51848;height:1874;left:5334;top:423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necessariamente a opinião dominante do Tribunal.</w:t>
                        </w:r>
                      </w:p>
                    </w:txbxContent>
                  </v:textbox>
                </v:rect>
                <v:rect id="Rectangle 15" style="position:absolute;width:69286;height:1874;left:5334;top:447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    Para detalhes, acesse os documentos do processo pelos links fornecidos.</w:t>
                        </w:r>
                      </w:p>
                    </w:txbxContent>
                  </v:textbox>
                </v:rect>
                <v:shape id="Picture 17" style="position:absolute;width:75565;height:9032;left:0;top:0;" filled="f">
                  <v:imagedata r:id="rId8"/>
                </v:shape>
                <v:shape id="Shape 960" style="position:absolute;width:67818;height:7620;left:5080;top:17780;" coordsize="6781800,762000" path="m0,0l6781800,0l6781800,762000l0,762000l0,0">
                  <v:stroke weight="0pt" endcap="square" joinstyle="miter" miterlimit="10" on="false" color="#000000" opacity="0"/>
                  <v:fill on="true" color="#01447f"/>
                </v:shape>
                <v:rect id="Rectangle 19" style="position:absolute;width:44548;height:3281;left:5715;top:19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42"/>
                          </w:rPr>
                          <w:t xml:space="preserve">Boletim de Jurisprudência</w:t>
                        </w:r>
                      </w:p>
                    </w:txbxContent>
                  </v:textbox>
                </v:rect>
                <v:rect id="Rectangle 20" style="position:absolute;width:39344;height:3281;left:5715;top:22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42"/>
                          </w:rPr>
                          <w:t xml:space="preserve">Finanças Públicas, nº 7</w:t>
                        </w:r>
                      </w:p>
                    </w:txbxContent>
                  </v:textbox>
                </v:rect>
                <v:shape id="Picture 943" style="position:absolute;width:74828;height:9052;left:609;top:609;" filled="f">
                  <v:imagedata r:id="rId9"/>
                </v:shape>
                <v:rect id="Rectangle 23" style="position:absolute;width:36950;height:1874;left:5715;top:271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Sessões de julho a dezembro de 2024.</w:t>
                        </w:r>
                      </w:p>
                    </w:txbxContent>
                  </v:textbox>
                </v:rect>
                <v:shape id="Shape 24" style="position:absolute;width:36830;height:0;left:19050;top:53467;" coordsize="3683000,0" path="m0,0l3683000,0">
                  <v:stroke weight="1pt" endcap="flat" joinstyle="miter" miterlimit="10" on="true" color="#000000"/>
                  <v:fill on="false" color="#000000" opacity="0"/>
                </v:shape>
                <v:shape id="Shape 961" style="position:absolute;width:3175;height:2540;left:635;top:58039;" coordsize="317500,254000" path="m0,0l317500,0l317500,254000l0,254000l0,0">
                  <v:stroke weight="0pt" endcap="square" joinstyle="miter" miterlimit="10" on="false" color="#000000" opacity="0"/>
                  <v:fill on="true" color="#01447f"/>
                </v:shape>
                <v:rect id="Rectangle 26" style="position:absolute;width:1314;height:2187;left:1728;top:584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822" style="position:absolute;width:939;height:1562;left:4572;top:68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825" style="position:absolute;width:90460;height:1562;left:5278;top:68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. A despeito da independência das instâncias, a pendência de processo judicial com idênticos pedido e causa de pedir,</w:t>
                        </w:r>
                      </w:p>
                    </w:txbxContent>
                  </v:textbox>
                </v:rect>
                <v:rect id="Rectangle 28" style="position:absolute;width:91211;height:1562;left:4572;top:698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notadamente se em avançado estágio processual, pode ser justificativa ao sobrestamento do processo neste Tribunal de</w:t>
                        </w:r>
                      </w:p>
                    </w:txbxContent>
                  </v:textbox>
                </v:rect>
                <v:rect id="Rectangle 29" style="position:absolute;width:33722;height:1562;left:4572;top:712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Contas, a fim de evitar decisões conflitantes.</w:t>
                        </w:r>
                      </w:p>
                    </w:txbxContent>
                  </v:textbox>
                </v:rect>
                <v:rect id="Rectangle 826" style="position:absolute;width:939;height:1562;left:4572;top:74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827" style="position:absolute;width:90272;height:1562;left:5278;top:74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. A existência de decisões judiciais não transitadas em julgado em sentido contrário ao objeto da Representação afasta</w:t>
                        </w:r>
                      </w:p>
                    </w:txbxContent>
                  </v:textbox>
                </v:rect>
                <v:rect id="Rectangle 31" style="position:absolute;width:77539;height:1562;left:4572;top:75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o fumus boni iuris para o deferimento ou manutenção de medida cautelar por este Tribunal de Contas.</w:t>
                        </w:r>
                      </w:p>
                    </w:txbxContent>
                  </v:textbox>
                </v:rect>
                <v:rect id="Rectangle 828" style="position:absolute;width:939;height:1562;left:4572;top:786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829" style="position:absolute;width:90272;height:1562;left:5278;top:786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. Na hipótese de Organização da Sociedade Civil que, a despeito da sua inscrição como inadimplente no Siggo, possuir</w:t>
                        </w:r>
                      </w:p>
                    </w:txbxContent>
                  </v:textbox>
                </v:rect>
                <v:rect id="Rectangle 33" style="position:absolute;width:91199;height:1562;left:4572;top:801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parceria pública em execução, cuja suspensão da transferência de novos recursos poderá ocasionar em prejuízo à</w:t>
                        </w:r>
                      </w:p>
                    </w:txbxContent>
                  </v:textbox>
                </v:rect>
                <v:rect id="Rectangle 34" style="position:absolute;width:91218;height:1562;left:4572;top:816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população, sobretudo vulnerável, a manutenção dos repasses poderá ser autorizada por meio do dirigente máximo do</w:t>
                        </w:r>
                      </w:p>
                    </w:txbxContent>
                  </v:textbox>
                </v:rect>
                <v:rect id="Rectangle 35" style="position:absolute;width:78909;height:1562;left:4572;top:831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órgão ou entidade da administração pública, na forma do art. 39 § 1º, da Lei n.º 13.019/14 - MROSC.</w:t>
                        </w:r>
                      </w:p>
                    </w:txbxContent>
                  </v:textbox>
                </v:rect>
                <v:rect id="Rectangle 36" style="position:absolute;width:20556;height:1562;left:4572;top:927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Decisão por unanimidade</w:t>
                        </w:r>
                      </w:p>
                    </w:txbxContent>
                  </v:textbox>
                </v:rect>
                <v:rect id="Rectangle 37" style="position:absolute;width:26284;height:1562;left:4572;top:90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André Clemente Lara De Oliveira</w:t>
                        </w:r>
                      </w:p>
                    </w:txbxContent>
                  </v:textbox>
                </v:rect>
                <v:rect id="Rectangle 38" style="position:absolute;width:6381;height:1562;left:4572;top:884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Relator:</w:t>
                        </w:r>
                      </w:p>
                    </w:txbxContent>
                  </v:textbox>
                </v:rect>
                <v:rect id="Rectangle 39" style="position:absolute;width:6477;height:1562;left:36830;top:884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Sessão:</w:t>
                        </w:r>
                      </w:p>
                    </w:txbxContent>
                  </v:textbox>
                </v:rect>
                <v:rect id="Rectangle 40" style="position:absolute;width:28216;height:1562;left:36830;top:90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ORDINÁRIA nº 5397, de 25/09/2024.</w:t>
                        </w:r>
                      </w:p>
                    </w:txbxContent>
                  </v:textbox>
                </v:rect>
                <v:rect id="Rectangle 41" style="position:absolute;width:18776;height:1562;left:4445;top:95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Decisões relacionadas:</w:t>
                        </w:r>
                      </w:p>
                    </w:txbxContent>
                  </v:textbox>
                </v:rect>
                <v:rect id="Rectangle 42" style="position:absolute;width:91211;height:1562;left:4572;top:58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REPRESENTAÇÃO. SECRETARIA DE DESENVOLVIMENTO SOCIAL - SEDES/DF. POSSÍVEIS IRREGULARIDADES</w:t>
                        </w:r>
                      </w:p>
                    </w:txbxContent>
                  </v:textbox>
                </v:rect>
                <v:rect id="Rectangle 43" style="position:absolute;width:91214;height:1562;left:4572;top:59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NA CONDUÇÃO DE PROCESSO DE PRESTAÇÃO DE CONTAS. CONVÊNIO N.º 36/2009. SERVIÇO DE</w:t>
                        </w:r>
                      </w:p>
                    </w:txbxContent>
                  </v:textbox>
                </v:rect>
                <v:rect id="Rectangle 44" style="position:absolute;width:91202;height:1562;left:4572;top:612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CONVIVÊNCIA A CRIANÇAS PERTENCENTES A FAMÍLIAS EM SITUAÇÃO DE RISCO E VULNERABILIDADE</w:t>
                        </w:r>
                      </w:p>
                    </w:txbxContent>
                  </v:textbox>
                </v:rect>
                <v:rect id="Rectangle 45" style="position:absolute;width:91209;height:1562;left:4572;top:62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PESSOAL E SOCIAL. INSCRIÇÃO NO SIGGO. PARCERIA PÚBLICA EM EXECUÇÃO. SUSPENSÃO DOS</w:t>
                        </w:r>
                      </w:p>
                    </w:txbxContent>
                  </v:textbox>
                </v:rect>
                <v:rect id="Rectangle 46" style="position:absolute;width:68335;height:1562;left:4572;top:64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REPASSES. AUTORIZAÇÃO DA MANUTENÇÃO. SOBRESTAMENTO DO FEITO.</w:t>
                        </w:r>
                      </w:p>
                    </w:txbxContent>
                  </v:textbox>
                </v:rect>
                <v:rect id="Rectangle 874" style="position:absolute;width:29871;height:1562;left:36830;top:927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9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Proc. nº 16204/2023 - Dec. nº 3712/202</w:t>
                          </w:r>
                        </w:hyperlink>
                      </w:p>
                    </w:txbxContent>
                  </v:textbox>
                </v:rect>
                <v:rect id="Rectangle 873" style="position:absolute;width:939;height:1562;left:59289;top:927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9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4</w:t>
                          </w:r>
                        </w:hyperlink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2E8315C0" w14:textId="77777777" w:rsidR="001F7740" w:rsidRDefault="00000000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48B65E" wp14:editId="1E8902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TopAndBottom/>
                <wp:docPr id="842" name="Group 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wps:wsp>
                        <wps:cNvPr id="962" name="Shape 962"/>
                        <wps:cNvSpPr/>
                        <wps:spPr>
                          <a:xfrm>
                            <a:off x="0" y="0"/>
                            <a:ext cx="406400" cy="9931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0" h="9931400">
                                <a:moveTo>
                                  <a:pt x="0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9931400"/>
                                </a:lnTo>
                                <a:lnTo>
                                  <a:pt x="0" y="9931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9931400"/>
                            <a:ext cx="75565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7620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6742176" y="10123551"/>
                            <a:ext cx="375656" cy="624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71568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8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" name="Rectangle 831"/>
                        <wps:cNvSpPr/>
                        <wps:spPr>
                          <a:xfrm>
                            <a:off x="457200" y="280670"/>
                            <a:ext cx="210816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2F90E" w14:textId="77777777" w:rsidR="001F7740" w:rsidRDefault="00000000">
                              <w:hyperlink r:id="rId10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1574/202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" name="Rectangle 830"/>
                        <wps:cNvSpPr/>
                        <wps:spPr>
                          <a:xfrm>
                            <a:off x="2042287" y="2806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F0107" w14:textId="77777777" w:rsidR="001F7740" w:rsidRDefault="00000000">
                              <w:hyperlink r:id="rId11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457200" y="534670"/>
                            <a:ext cx="210816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BCAD2" w14:textId="77777777" w:rsidR="001F7740" w:rsidRDefault="00000000">
                              <w:hyperlink r:id="rId12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2353/202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" name="Rectangle 832"/>
                        <wps:cNvSpPr/>
                        <wps:spPr>
                          <a:xfrm>
                            <a:off x="2042287" y="5346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CB1AD" w14:textId="77777777" w:rsidR="001F7740" w:rsidRDefault="00000000">
                              <w:hyperlink r:id="rId13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457200" y="788670"/>
                            <a:ext cx="210816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EE6E5" w14:textId="77777777" w:rsidR="001F7740" w:rsidRDefault="00000000">
                              <w:hyperlink r:id="rId14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3156/202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Rectangle 834"/>
                        <wps:cNvSpPr/>
                        <wps:spPr>
                          <a:xfrm>
                            <a:off x="2042287" y="7886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309D2" w14:textId="77777777" w:rsidR="001F7740" w:rsidRDefault="00000000">
                              <w:hyperlink r:id="rId15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457200" y="1156971"/>
                            <a:ext cx="191510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23D20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Legislação relacionada: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457200" y="1410971"/>
                            <a:ext cx="234886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5A550" w14:textId="77777777" w:rsidR="001F7740" w:rsidRDefault="00000000">
                              <w:hyperlink r:id="rId16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Lei nº 13019/2014, Art. 39, § 1º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" name="Rectangle 836"/>
                        <wps:cNvSpPr/>
                        <wps:spPr>
                          <a:xfrm>
                            <a:off x="2223262" y="1410971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ADDEBE" w14:textId="77777777" w:rsidR="001F7740" w:rsidRDefault="00000000">
                              <w:hyperlink r:id="rId17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" name="Rectangle 839"/>
                        <wps:cNvSpPr/>
                        <wps:spPr>
                          <a:xfrm>
                            <a:off x="457200" y="1677671"/>
                            <a:ext cx="289173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88068" w14:textId="77777777" w:rsidR="001F7740" w:rsidRDefault="00000000">
                              <w:hyperlink r:id="rId18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Constituição Federal de 1988, Art. 227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2631440" y="1677671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4C1F4" w14:textId="77777777" w:rsidR="001F7740" w:rsidRDefault="00000000">
                              <w:hyperlink r:id="rId19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" name="Rectangle 841"/>
                        <wps:cNvSpPr/>
                        <wps:spPr>
                          <a:xfrm>
                            <a:off x="457200" y="1944371"/>
                            <a:ext cx="183233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F08E9" w14:textId="77777777" w:rsidR="001F7740" w:rsidRDefault="00000000">
                              <w:hyperlink r:id="rId20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Lei nº 8069/1190, Art. 4º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" name="Rectangle 840"/>
                        <wps:cNvSpPr/>
                        <wps:spPr>
                          <a:xfrm>
                            <a:off x="1834896" y="1944371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8D88F" w14:textId="77777777" w:rsidR="001F7740" w:rsidRDefault="00000000">
                              <w:hyperlink r:id="rId21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Shape 76"/>
                        <wps:cNvSpPr/>
                        <wps:spPr>
                          <a:xfrm>
                            <a:off x="635000" y="224790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438275" y="10034270"/>
                            <a:ext cx="614004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0B84D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Coordenadoria de Biblioteca, Gestão da Informação e do Conhecimento – COBGI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657223" y="10182098"/>
                            <a:ext cx="555764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A8F77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Supervisão de Sistemas de Informação, Legislação e Jurisprudência - SSI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702054" y="10329926"/>
                            <a:ext cx="79776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C1197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Telefone: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2301875" y="10329926"/>
                            <a:ext cx="200006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28C0E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(61) 3314-2226/2593/2259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3805682" y="10329926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76362C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840988" y="10329926"/>
                            <a:ext cx="53510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8C017" w14:textId="77777777" w:rsidR="001F7740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>email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243324" y="10329926"/>
                            <a:ext cx="205833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717A9" w14:textId="77777777" w:rsidR="001F7740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jurisprudencia@tc.df.gov.br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2" style="width:595pt;height:842pt;position:absolute;mso-position-horizontal-relative:page;mso-position-horizontal:absolute;margin-left:0pt;mso-position-vertical-relative:page;margin-top:0pt;" coordsize="75565,106934">
                <v:shape id="Shape 964" style="position:absolute;width:4064;height:99314;left:0;top:0;" coordsize="406400,9931400" path="m0,0l406400,0l406400,9931400l0,9931400l0,0">
                  <v:stroke weight="0pt" endcap="square" joinstyle="miter" miterlimit="10" on="false" color="#000000" opacity="0"/>
                  <v:fill on="true" color="#01447f"/>
                </v:shape>
                <v:shape id="Shape 965" style="position:absolute;width:75565;height:7620;left:0;top:99314;" coordsize="7556500,762000" path="m0,0l7556500,0l7556500,762000l0,762000l0,0">
                  <v:stroke weight="0pt" endcap="square" joinstyle="miter" miterlimit="10" on="false" color="#000000" opacity="0"/>
                  <v:fill on="true" color="#01447f"/>
                </v:shape>
                <v:rect id="Rectangle 62" style="position:absolute;width:3756;height:6249;left:67421;top:101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8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831" style="position:absolute;width:21081;height:1562;left:4572;top:2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3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1574/202</w:t>
                          </w:r>
                        </w:hyperlink>
                      </w:p>
                    </w:txbxContent>
                  </v:textbox>
                </v:rect>
                <v:rect id="Rectangle 830" style="position:absolute;width:939;height:1562;left:20422;top:2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3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4</w:t>
                          </w:r>
                        </w:hyperlink>
                      </w:p>
                    </w:txbxContent>
                  </v:textbox>
                </v:rect>
                <v:rect id="Rectangle 833" style="position:absolute;width:21081;height:1562;left:4572;top:53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4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2353/202</w:t>
                          </w:r>
                        </w:hyperlink>
                      </w:p>
                    </w:txbxContent>
                  </v:textbox>
                </v:rect>
                <v:rect id="Rectangle 832" style="position:absolute;width:939;height:1562;left:20422;top:53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4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4</w:t>
                          </w:r>
                        </w:hyperlink>
                      </w:p>
                    </w:txbxContent>
                  </v:textbox>
                </v:rect>
                <v:rect id="Rectangle 835" style="position:absolute;width:21081;height:1562;left:4572;top:7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5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3156/202</w:t>
                          </w:r>
                        </w:hyperlink>
                      </w:p>
                    </w:txbxContent>
                  </v:textbox>
                </v:rect>
                <v:rect id="Rectangle 834" style="position:absolute;width:939;height:1562;left:20422;top:7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5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4</w:t>
                          </w:r>
                        </w:hyperlink>
                      </w:p>
                    </w:txbxContent>
                  </v:textbox>
                </v:rect>
                <v:rect id="Rectangle 69" style="position:absolute;width:19151;height:1562;left:4572;top:115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Legislação relacionada:</w:t>
                        </w:r>
                      </w:p>
                    </w:txbxContent>
                  </v:textbox>
                </v:rect>
                <v:rect id="Rectangle 837" style="position:absolute;width:23488;height:1562;left:4572;top:141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6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Lei nº 13019/2014, Art. 39, § 1º</w:t>
                          </w:r>
                        </w:hyperlink>
                      </w:p>
                    </w:txbxContent>
                  </v:textbox>
                </v:rect>
                <v:rect id="Rectangle 836" style="position:absolute;width:469;height:1562;left:22232;top:141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6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839" style="position:absolute;width:28917;height:1562;left:4572;top:16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7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Constituição Federal de 1988, Art. 227</w:t>
                          </w:r>
                        </w:hyperlink>
                      </w:p>
                    </w:txbxContent>
                  </v:textbox>
                </v:rect>
                <v:rect id="Rectangle 838" style="position:absolute;width:469;height:1562;left:26314;top:16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7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841" style="position:absolute;width:18323;height:1562;left:4572;top:194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8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Lei nº 8069/1190, Art. 4º</w:t>
                          </w:r>
                        </w:hyperlink>
                      </w:p>
                    </w:txbxContent>
                  </v:textbox>
                </v:rect>
                <v:rect id="Rectangle 840" style="position:absolute;width:469;height:1562;left:18348;top:194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8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shape id="Shape 76" style="position:absolute;width:63500;height:0;left:6350;top:22479;" coordsize="6350000,0" path="m0,0l6350000,0">
                  <v:stroke weight="1pt" endcap="flat" joinstyle="miter" miterlimit="10" on="true" color="#000000"/>
                  <v:fill on="false" color="#000000" opacity="0"/>
                </v:shape>
                <v:rect id="Rectangle 77" style="position:absolute;width:61400;height:1562;left:14382;top:100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Coordenadoria de Biblioteca, Gestão da Informação e do Conhecimento – COBGI</w:t>
                        </w:r>
                      </w:p>
                    </w:txbxContent>
                  </v:textbox>
                </v:rect>
                <v:rect id="Rectangle 78" style="position:absolute;width:55576;height:1562;left:16572;top:1018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Supervisão de Sistemas de Informação, Legislação e Jurisprudência - SSI</w:t>
                        </w:r>
                      </w:p>
                    </w:txbxContent>
                  </v:textbox>
                </v:rect>
                <v:rect id="Rectangle 79" style="position:absolute;width:7977;height:1562;left:17020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0"/>
                          </w:rPr>
                          <w:t xml:space="preserve">Telefone: </w:t>
                        </w:r>
                      </w:p>
                    </w:txbxContent>
                  </v:textbox>
                </v:rect>
                <v:rect id="Rectangle 823" style="position:absolute;width:20000;height:1562;left:23018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(61) 3314-2226/2593/2259</w:t>
                        </w:r>
                      </w:p>
                    </w:txbxContent>
                  </v:textbox>
                </v:rect>
                <v:rect id="Rectangle 824" style="position:absolute;width:469;height:1562;left:38056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style="position:absolute;width:5351;height:1562;left:38409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0"/>
                          </w:rPr>
                          <w:t xml:space="preserve">email: </w:t>
                        </w:r>
                      </w:p>
                    </w:txbxContent>
                  </v:textbox>
                </v:rect>
                <v:rect id="Rectangle 82" style="position:absolute;width:20583;height:1562;left:42433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jurisprudencia@tc.df.gov.br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1F7740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740"/>
    <w:rsid w:val="001F7740"/>
    <w:rsid w:val="007A7D16"/>
    <w:rsid w:val="00CD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BCB4"/>
  <w15:docId w15:val="{B073AD58-D486-4A00-927E-696BCDC5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hyperlink49" Type="http://schemas.openxmlformats.org/officeDocument/2006/relationships/hyperlink" Target="https://etcdf.tc.df.gov.br/?a=consultaETCDF&amp;f=formPrincipal&amp;edoc=5C9A5C92" TargetMode="External"/><Relationship Id="rId13" Type="http://schemas.openxmlformats.org/officeDocument/2006/relationships/hyperlink" Target="https://etcdf.tc.df.gov.br/?a=consultaETCDF&amp;f=formPrincipal&amp;edoc=380C4FDB" TargetMode="External"/><Relationship Id="rId18" Type="http://schemas.openxmlformats.org/officeDocument/2006/relationships/hyperlink" Target="http://www.planalto.gov.br/ccivil_03/constituicao/constituicaocompilado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lanalto.gov.br/ccivil_03/leis/l8069.htm" TargetMode="External"/><Relationship Id="hyperlink86" Type="http://schemas.openxmlformats.org/officeDocument/2006/relationships/hyperlink" Target="http://www.planalto.gov.br/ccivil_03/_ato2011-2014/2014/lei/l13019.htm" TargetMode="External"/><Relationship Id="rId7" Type="http://schemas.openxmlformats.org/officeDocument/2006/relationships/hyperlink" Target="https://etcdf.tc.df.gov.br/?a=consultaETCDF&amp;f=formPrincipal&amp;edoc=5C9A5C92" TargetMode="External"/><Relationship Id="rId12" Type="http://schemas.openxmlformats.org/officeDocument/2006/relationships/hyperlink" Target="https://etcdf.tc.df.gov.br/?a=consultaETCDF&amp;f=formPrincipal&amp;edoc=380C4FDB" TargetMode="External"/><Relationship Id="rId17" Type="http://schemas.openxmlformats.org/officeDocument/2006/relationships/hyperlink" Target="http://www.planalto.gov.br/ccivil_03/_ato2011-2014/2014/lei/l13019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lanalto.gov.br/ccivil_03/_ato2011-2014/2014/lei/l13019.htm" TargetMode="External"/><Relationship Id="rId20" Type="http://schemas.openxmlformats.org/officeDocument/2006/relationships/hyperlink" Target="http://www.planalto.gov.br/ccivil_03/leis/l8069.htm" TargetMode="External"/><Relationship Id="hyperlink85" Type="http://schemas.openxmlformats.org/officeDocument/2006/relationships/hyperlink" Target="https://etcdf.tc.df.gov.br/?a=consultaETCDF&amp;f=formPrincipal&amp;edoc=1C2F8CD5" TargetMode="External"/><Relationship Id="rId1" Type="http://schemas.openxmlformats.org/officeDocument/2006/relationships/styles" Target="styles.xml"/><Relationship Id="rId6" Type="http://schemas.openxmlformats.org/officeDocument/2006/relationships/hyperlink" Target="https://etcdf.tc.df.gov.br/?a=consultaETCDF&amp;f=formPrincipal&amp;edoc=5C9A5C92" TargetMode="External"/><Relationship Id="rId11" Type="http://schemas.openxmlformats.org/officeDocument/2006/relationships/hyperlink" Target="https://etcdf.tc.df.gov.br/?a=consultaETCDF&amp;f=formPrincipal&amp;edoc=655CBA8D" TargetMode="External"/><Relationship Id="hyperlink84" Type="http://schemas.openxmlformats.org/officeDocument/2006/relationships/hyperlink" Target="https://etcdf.tc.df.gov.br/?a=consultaETCDF&amp;f=formPrincipal&amp;edoc=380C4FDB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etcdf.tc.df.gov.br/?a=consultaETCDF&amp;f=formPrincipal&amp;edoc=1C2F8CD5" TargetMode="External"/><Relationship Id="hyperlink88" Type="http://schemas.openxmlformats.org/officeDocument/2006/relationships/hyperlink" Target="http://www.planalto.gov.br/ccivil_03/leis/l8069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tcdf.tc.df.gov.br/?a=consultaETCDF&amp;f=formPrincipal&amp;edoc=655CBA8D" TargetMode="External"/><Relationship Id="rId19" Type="http://schemas.openxmlformats.org/officeDocument/2006/relationships/hyperlink" Target="http://www.planalto.gov.br/ccivil_03/constituicao/constituicaocompilado.htm" TargetMode="External"/><Relationship Id="hyperlink83" Type="http://schemas.openxmlformats.org/officeDocument/2006/relationships/hyperlink" Target="https://etcdf.tc.df.gov.br/?a=consultaETCDF&amp;f=formPrincipal&amp;edoc=655CBA8D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1.png"/><Relationship Id="rId14" Type="http://schemas.openxmlformats.org/officeDocument/2006/relationships/hyperlink" Target="https://etcdf.tc.df.gov.br/?a=consultaETCDF&amp;f=formPrincipal&amp;edoc=1C2F8CD5" TargetMode="External"/><Relationship Id="hyperlink87" Type="http://schemas.openxmlformats.org/officeDocument/2006/relationships/hyperlink" Target="http://www.planalto.gov.br/ccivil_03/constituicao/constituicaocompilado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Kamili Teles De Araújo</dc:creator>
  <cp:keywords/>
  <cp:lastModifiedBy>Kamili Teles De Araújo</cp:lastModifiedBy>
  <cp:revision>2</cp:revision>
  <dcterms:created xsi:type="dcterms:W3CDTF">2026-08-26T20:01:00Z</dcterms:created>
  <dcterms:modified xsi:type="dcterms:W3CDTF">2026-08-26T20:01:00Z</dcterms:modified>
</cp:coreProperties>
</file>