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FB8D4" w14:textId="77777777" w:rsidR="000A3897" w:rsidRDefault="00000000">
      <w:pPr>
        <w:spacing w:after="0"/>
        <w:ind w:left="-700" w:right="11542"/>
      </w:pPr>
      <w:r>
        <w:rPr>
          <w:noProof/>
        </w:rPr>
        <mc:AlternateContent>
          <mc:Choice Requires="wpg">
            <w:drawing>
              <wp:anchor distT="0" distB="0" distL="114300" distR="114300" simplePos="0" relativeHeight="251658240" behindDoc="0" locked="0" layoutInCell="1" allowOverlap="1" wp14:anchorId="598A3CF5" wp14:editId="27516B75">
                <wp:simplePos x="0" y="0"/>
                <wp:positionH relativeFrom="page">
                  <wp:posOffset>0</wp:posOffset>
                </wp:positionH>
                <wp:positionV relativeFrom="page">
                  <wp:posOffset>0</wp:posOffset>
                </wp:positionV>
                <wp:extent cx="7556500" cy="10693400"/>
                <wp:effectExtent l="0" t="0" r="0" b="0"/>
                <wp:wrapTopAndBottom/>
                <wp:docPr id="1489" name="Group 1489"/>
                <wp:cNvGraphicFramePr/>
                <a:graphic xmlns:a="http://schemas.openxmlformats.org/drawingml/2006/main">
                  <a:graphicData uri="http://schemas.microsoft.com/office/word/2010/wordprocessingGroup">
                    <wpg:wgp>
                      <wpg:cNvGrpSpPr/>
                      <wpg:grpSpPr>
                        <a:xfrm>
                          <a:off x="0" y="0"/>
                          <a:ext cx="7556500" cy="10693400"/>
                          <a:chOff x="0" y="0"/>
                          <a:chExt cx="7556500" cy="10693400"/>
                        </a:xfrm>
                      </wpg:grpSpPr>
                      <wps:wsp>
                        <wps:cNvPr id="1892" name="Shape 1892"/>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s:wsp>
                        <wps:cNvPr id="1893" name="Shape 1893"/>
                        <wps:cNvSpPr/>
                        <wps:spPr>
                          <a:xfrm>
                            <a:off x="0" y="9931400"/>
                            <a:ext cx="7556500" cy="762000"/>
                          </a:xfrm>
                          <a:custGeom>
                            <a:avLst/>
                            <a:gdLst/>
                            <a:ahLst/>
                            <a:cxnLst/>
                            <a:rect l="0" t="0" r="0" b="0"/>
                            <a:pathLst>
                              <a:path w="7556500" h="762000">
                                <a:moveTo>
                                  <a:pt x="0" y="0"/>
                                </a:moveTo>
                                <a:lnTo>
                                  <a:pt x="7556500" y="0"/>
                                </a:lnTo>
                                <a:lnTo>
                                  <a:pt x="7556500" y="762000"/>
                                </a:lnTo>
                                <a:lnTo>
                                  <a:pt x="0" y="7620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s:wsp>
                        <wps:cNvPr id="8" name="Rectangle 8"/>
                        <wps:cNvSpPr/>
                        <wps:spPr>
                          <a:xfrm>
                            <a:off x="6742176" y="10123551"/>
                            <a:ext cx="375656" cy="624967"/>
                          </a:xfrm>
                          <a:prstGeom prst="rect">
                            <a:avLst/>
                          </a:prstGeom>
                          <a:ln>
                            <a:noFill/>
                          </a:ln>
                        </wps:spPr>
                        <wps:txbx>
                          <w:txbxContent>
                            <w:p w14:paraId="60342B21" w14:textId="77777777" w:rsidR="000A3897" w:rsidRDefault="00000000">
                              <w:r>
                                <w:rPr>
                                  <w:rFonts w:ascii="Arial" w:eastAsia="Arial" w:hAnsi="Arial" w:cs="Arial"/>
                                  <w:b/>
                                  <w:color w:val="FFFFFF"/>
                                  <w:sz w:val="80"/>
                                </w:rPr>
                                <w:t>1</w:t>
                              </w:r>
                            </w:p>
                          </w:txbxContent>
                        </wps:txbx>
                        <wps:bodyPr horzOverflow="overflow" vert="horz" lIns="0" tIns="0" rIns="0" bIns="0" rtlCol="0">
                          <a:noAutofit/>
                        </wps:bodyPr>
                      </wps:wsp>
                      <wps:wsp>
                        <wps:cNvPr id="10" name="Rectangle 10"/>
                        <wps:cNvSpPr/>
                        <wps:spPr>
                          <a:xfrm>
                            <a:off x="533400" y="3041955"/>
                            <a:ext cx="9019795" cy="187491"/>
                          </a:xfrm>
                          <a:prstGeom prst="rect">
                            <a:avLst/>
                          </a:prstGeom>
                          <a:ln>
                            <a:noFill/>
                          </a:ln>
                        </wps:spPr>
                        <wps:txbx>
                          <w:txbxContent>
                            <w:p w14:paraId="37ADAADA" w14:textId="77777777" w:rsidR="000A3897" w:rsidRDefault="00000000">
                              <w:r>
                                <w:rPr>
                                  <w:rFonts w:ascii="Arial" w:eastAsia="Arial" w:hAnsi="Arial" w:cs="Arial"/>
                                  <w:sz w:val="24"/>
                                </w:rPr>
                                <w:t xml:space="preserve">     O Boletim de Jurisprudência do TCDF é uma publicação periódica elaborada pela Supervisão de</w:t>
                              </w:r>
                            </w:p>
                          </w:txbxContent>
                        </wps:txbx>
                        <wps:bodyPr horzOverflow="overflow" vert="horz" lIns="0" tIns="0" rIns="0" bIns="0" rtlCol="0">
                          <a:noAutofit/>
                        </wps:bodyPr>
                      </wps:wsp>
                      <wps:wsp>
                        <wps:cNvPr id="11" name="Rectangle 11"/>
                        <wps:cNvSpPr/>
                        <wps:spPr>
                          <a:xfrm>
                            <a:off x="533400" y="3284144"/>
                            <a:ext cx="9019963" cy="187491"/>
                          </a:xfrm>
                          <a:prstGeom prst="rect">
                            <a:avLst/>
                          </a:prstGeom>
                          <a:ln>
                            <a:noFill/>
                          </a:ln>
                        </wps:spPr>
                        <wps:txbx>
                          <w:txbxContent>
                            <w:p w14:paraId="7D49776F" w14:textId="77777777" w:rsidR="000A3897" w:rsidRDefault="00000000">
                              <w:r>
                                <w:rPr>
                                  <w:rFonts w:ascii="Arial" w:eastAsia="Arial" w:hAnsi="Arial" w:cs="Arial"/>
                                  <w:sz w:val="24"/>
                                </w:rPr>
                                <w:t>Sistemas de Informação, Legislação e Jurisprudência, da Coordenadoria de Biblioteca, Gestão da</w:t>
                              </w:r>
                            </w:p>
                          </w:txbxContent>
                        </wps:txbx>
                        <wps:bodyPr horzOverflow="overflow" vert="horz" lIns="0" tIns="0" rIns="0" bIns="0" rtlCol="0">
                          <a:noAutofit/>
                        </wps:bodyPr>
                      </wps:wsp>
                      <wps:wsp>
                        <wps:cNvPr id="12" name="Rectangle 12"/>
                        <wps:cNvSpPr/>
                        <wps:spPr>
                          <a:xfrm>
                            <a:off x="533400" y="3526459"/>
                            <a:ext cx="9019797" cy="187491"/>
                          </a:xfrm>
                          <a:prstGeom prst="rect">
                            <a:avLst/>
                          </a:prstGeom>
                          <a:ln>
                            <a:noFill/>
                          </a:ln>
                        </wps:spPr>
                        <wps:txbx>
                          <w:txbxContent>
                            <w:p w14:paraId="3E638269" w14:textId="77777777" w:rsidR="000A3897" w:rsidRDefault="00000000">
                              <w:r>
                                <w:rPr>
                                  <w:rFonts w:ascii="Arial" w:eastAsia="Arial" w:hAnsi="Arial" w:cs="Arial"/>
                                  <w:sz w:val="24"/>
                                </w:rPr>
                                <w:t>Informação e do Conhecimento, com a finalidade de apresentar resumos das teses constantes em</w:t>
                              </w:r>
                            </w:p>
                          </w:txbxContent>
                        </wps:txbx>
                        <wps:bodyPr horzOverflow="overflow" vert="horz" lIns="0" tIns="0" rIns="0" bIns="0" rtlCol="0">
                          <a:noAutofit/>
                        </wps:bodyPr>
                      </wps:wsp>
                      <wps:wsp>
                        <wps:cNvPr id="13" name="Rectangle 13"/>
                        <wps:cNvSpPr/>
                        <wps:spPr>
                          <a:xfrm>
                            <a:off x="533400" y="3768648"/>
                            <a:ext cx="9019389" cy="187491"/>
                          </a:xfrm>
                          <a:prstGeom prst="rect">
                            <a:avLst/>
                          </a:prstGeom>
                          <a:ln>
                            <a:noFill/>
                          </a:ln>
                        </wps:spPr>
                        <wps:txbx>
                          <w:txbxContent>
                            <w:p w14:paraId="227D775A" w14:textId="77777777" w:rsidR="000A3897" w:rsidRDefault="00000000">
                              <w:r>
                                <w:rPr>
                                  <w:rFonts w:ascii="Arial" w:eastAsia="Arial" w:hAnsi="Arial" w:cs="Arial"/>
                                  <w:sz w:val="24"/>
                                </w:rPr>
                                <w:t>decisões desta Corte que se enquadrem em critérios de relevância, reiteração, ineditismo ou</w:t>
                              </w:r>
                            </w:p>
                          </w:txbxContent>
                        </wps:txbx>
                        <wps:bodyPr horzOverflow="overflow" vert="horz" lIns="0" tIns="0" rIns="0" bIns="0" rtlCol="0">
                          <a:noAutofit/>
                        </wps:bodyPr>
                      </wps:wsp>
                      <wps:wsp>
                        <wps:cNvPr id="14" name="Rectangle 14"/>
                        <wps:cNvSpPr/>
                        <wps:spPr>
                          <a:xfrm>
                            <a:off x="533400" y="4010837"/>
                            <a:ext cx="1160209" cy="187491"/>
                          </a:xfrm>
                          <a:prstGeom prst="rect">
                            <a:avLst/>
                          </a:prstGeom>
                          <a:ln>
                            <a:noFill/>
                          </a:ln>
                        </wps:spPr>
                        <wps:txbx>
                          <w:txbxContent>
                            <w:p w14:paraId="584783CC" w14:textId="77777777" w:rsidR="000A3897" w:rsidRDefault="00000000">
                              <w:r>
                                <w:rPr>
                                  <w:rFonts w:ascii="Arial" w:eastAsia="Arial" w:hAnsi="Arial" w:cs="Arial"/>
                                  <w:sz w:val="24"/>
                                </w:rPr>
                                <w:t>controvérsia.</w:t>
                              </w:r>
                            </w:p>
                          </w:txbxContent>
                        </wps:txbx>
                        <wps:bodyPr horzOverflow="overflow" vert="horz" lIns="0" tIns="0" rIns="0" bIns="0" rtlCol="0">
                          <a:noAutofit/>
                        </wps:bodyPr>
                      </wps:wsp>
                      <wps:wsp>
                        <wps:cNvPr id="15" name="Rectangle 15"/>
                        <wps:cNvSpPr/>
                        <wps:spPr>
                          <a:xfrm>
                            <a:off x="533400" y="4253154"/>
                            <a:ext cx="9019797" cy="187490"/>
                          </a:xfrm>
                          <a:prstGeom prst="rect">
                            <a:avLst/>
                          </a:prstGeom>
                          <a:ln>
                            <a:noFill/>
                          </a:ln>
                        </wps:spPr>
                        <wps:txbx>
                          <w:txbxContent>
                            <w:p w14:paraId="46DAFD3F" w14:textId="77777777" w:rsidR="000A3897" w:rsidRDefault="00000000">
                              <w:r>
                                <w:rPr>
                                  <w:rFonts w:ascii="Arial" w:eastAsia="Arial" w:hAnsi="Arial" w:cs="Arial"/>
                                  <w:sz w:val="24"/>
                                </w:rPr>
                                <w:t xml:space="preserve">     Ressalta-se, todavia, que as informações aqui apresentadas não constituem resumo oficial das</w:t>
                              </w:r>
                            </w:p>
                          </w:txbxContent>
                        </wps:txbx>
                        <wps:bodyPr horzOverflow="overflow" vert="horz" lIns="0" tIns="0" rIns="0" bIns="0" rtlCol="0">
                          <a:noAutofit/>
                        </wps:bodyPr>
                      </wps:wsp>
                      <wps:wsp>
                        <wps:cNvPr id="16" name="Rectangle 16"/>
                        <wps:cNvSpPr/>
                        <wps:spPr>
                          <a:xfrm>
                            <a:off x="533400" y="4495343"/>
                            <a:ext cx="9019456" cy="187490"/>
                          </a:xfrm>
                          <a:prstGeom prst="rect">
                            <a:avLst/>
                          </a:prstGeom>
                          <a:ln>
                            <a:noFill/>
                          </a:ln>
                        </wps:spPr>
                        <wps:txbx>
                          <w:txbxContent>
                            <w:p w14:paraId="55ABF913" w14:textId="77777777" w:rsidR="000A3897" w:rsidRDefault="00000000">
                              <w:r>
                                <w:rPr>
                                  <w:rFonts w:ascii="Arial" w:eastAsia="Arial" w:hAnsi="Arial" w:cs="Arial"/>
                                  <w:sz w:val="24"/>
                                </w:rPr>
                                <w:t>decisões proferidas pelo Tribunal nem representam, necessariamente, o posicionamento</w:t>
                              </w:r>
                            </w:p>
                          </w:txbxContent>
                        </wps:txbx>
                        <wps:bodyPr horzOverflow="overflow" vert="horz" lIns="0" tIns="0" rIns="0" bIns="0" rtlCol="0">
                          <a:noAutofit/>
                        </wps:bodyPr>
                      </wps:wsp>
                      <wps:wsp>
                        <wps:cNvPr id="17" name="Rectangle 17"/>
                        <wps:cNvSpPr/>
                        <wps:spPr>
                          <a:xfrm>
                            <a:off x="533400" y="4737659"/>
                            <a:ext cx="4160118" cy="187490"/>
                          </a:xfrm>
                          <a:prstGeom prst="rect">
                            <a:avLst/>
                          </a:prstGeom>
                          <a:ln>
                            <a:noFill/>
                          </a:ln>
                        </wps:spPr>
                        <wps:txbx>
                          <w:txbxContent>
                            <w:p w14:paraId="46B70F19" w14:textId="77777777" w:rsidR="000A3897" w:rsidRDefault="00000000">
                              <w:r>
                                <w:rPr>
                                  <w:rFonts w:ascii="Arial" w:eastAsia="Arial" w:hAnsi="Arial" w:cs="Arial"/>
                                  <w:sz w:val="24"/>
                                </w:rPr>
                                <w:t>prevalecente na Corte sobre a matéria.</w:t>
                              </w:r>
                            </w:p>
                          </w:txbxContent>
                        </wps:txbx>
                        <wps:bodyPr horzOverflow="overflow" vert="horz" lIns="0" tIns="0" rIns="0" bIns="0" rtlCol="0">
                          <a:noAutofit/>
                        </wps:bodyPr>
                      </wps:wsp>
                      <wps:wsp>
                        <wps:cNvPr id="18" name="Rectangle 18"/>
                        <wps:cNvSpPr/>
                        <wps:spPr>
                          <a:xfrm>
                            <a:off x="533400" y="4979848"/>
                            <a:ext cx="9018950" cy="187490"/>
                          </a:xfrm>
                          <a:prstGeom prst="rect">
                            <a:avLst/>
                          </a:prstGeom>
                          <a:ln>
                            <a:noFill/>
                          </a:ln>
                        </wps:spPr>
                        <wps:txbx>
                          <w:txbxContent>
                            <w:p w14:paraId="46836CA7" w14:textId="77777777" w:rsidR="000A3897" w:rsidRDefault="00000000">
                              <w:r>
                                <w:rPr>
                                  <w:rFonts w:ascii="Arial" w:eastAsia="Arial" w:hAnsi="Arial" w:cs="Arial"/>
                                  <w:sz w:val="24"/>
                                </w:rPr>
                                <w:t xml:space="preserve">     Este boletim informativo não substitui a publicação oficial das decisões. Para um exame mais</w:t>
                              </w:r>
                            </w:p>
                          </w:txbxContent>
                        </wps:txbx>
                        <wps:bodyPr horzOverflow="overflow" vert="horz" lIns="0" tIns="0" rIns="0" bIns="0" rtlCol="0">
                          <a:noAutofit/>
                        </wps:bodyPr>
                      </wps:wsp>
                      <wps:wsp>
                        <wps:cNvPr id="19" name="Rectangle 19"/>
                        <wps:cNvSpPr/>
                        <wps:spPr>
                          <a:xfrm>
                            <a:off x="533400" y="5222037"/>
                            <a:ext cx="9020538" cy="187490"/>
                          </a:xfrm>
                          <a:prstGeom prst="rect">
                            <a:avLst/>
                          </a:prstGeom>
                          <a:ln>
                            <a:noFill/>
                          </a:ln>
                        </wps:spPr>
                        <wps:txbx>
                          <w:txbxContent>
                            <w:p w14:paraId="0EC97C01" w14:textId="77777777" w:rsidR="000A3897" w:rsidRDefault="00000000">
                              <w:r>
                                <w:rPr>
                                  <w:rFonts w:ascii="Arial" w:eastAsia="Arial" w:hAnsi="Arial" w:cs="Arial"/>
                                  <w:sz w:val="24"/>
                                </w:rPr>
                                <w:t>aprofundado da decisão, sugere-se o acesso aos documentos do processo por meio dos links</w:t>
                              </w:r>
                            </w:p>
                          </w:txbxContent>
                        </wps:txbx>
                        <wps:bodyPr horzOverflow="overflow" vert="horz" lIns="0" tIns="0" rIns="0" bIns="0" rtlCol="0">
                          <a:noAutofit/>
                        </wps:bodyPr>
                      </wps:wsp>
                      <wps:wsp>
                        <wps:cNvPr id="20" name="Rectangle 20"/>
                        <wps:cNvSpPr/>
                        <wps:spPr>
                          <a:xfrm>
                            <a:off x="533400" y="5464353"/>
                            <a:ext cx="2666616" cy="187490"/>
                          </a:xfrm>
                          <a:prstGeom prst="rect">
                            <a:avLst/>
                          </a:prstGeom>
                          <a:ln>
                            <a:noFill/>
                          </a:ln>
                        </wps:spPr>
                        <wps:txbx>
                          <w:txbxContent>
                            <w:p w14:paraId="3B0DD546" w14:textId="77777777" w:rsidR="000A3897" w:rsidRDefault="00000000">
                              <w:r>
                                <w:rPr>
                                  <w:rFonts w:ascii="Arial" w:eastAsia="Arial" w:hAnsi="Arial" w:cs="Arial"/>
                                  <w:sz w:val="24"/>
                                </w:rPr>
                                <w:t>presentes em cada decisão.</w:t>
                              </w:r>
                            </w:p>
                          </w:txbxContent>
                        </wps:txbx>
                        <wps:bodyPr horzOverflow="overflow" vert="horz" lIns="0" tIns="0" rIns="0" bIns="0" rtlCol="0">
                          <a:noAutofit/>
                        </wps:bodyPr>
                      </wps:wsp>
                      <wps:wsp>
                        <wps:cNvPr id="21" name="Rectangle 21"/>
                        <wps:cNvSpPr/>
                        <wps:spPr>
                          <a:xfrm>
                            <a:off x="533400" y="5706542"/>
                            <a:ext cx="5598961" cy="187490"/>
                          </a:xfrm>
                          <a:prstGeom prst="rect">
                            <a:avLst/>
                          </a:prstGeom>
                          <a:ln>
                            <a:noFill/>
                          </a:ln>
                        </wps:spPr>
                        <wps:txbx>
                          <w:txbxContent>
                            <w:p w14:paraId="67A78B99" w14:textId="77777777" w:rsidR="000A3897" w:rsidRDefault="00000000">
                              <w:r>
                                <w:rPr>
                                  <w:rFonts w:ascii="Arial" w:eastAsia="Arial" w:hAnsi="Arial" w:cs="Arial"/>
                                  <w:sz w:val="24"/>
                                </w:rPr>
                                <w:t xml:space="preserve">     Deseja receber os Boletins de Jurisprudência do Tribunal? </w:t>
                              </w:r>
                            </w:p>
                          </w:txbxContent>
                        </wps:txbx>
                        <wps:bodyPr horzOverflow="overflow" vert="horz" lIns="0" tIns="0" rIns="0" bIns="0" rtlCol="0">
                          <a:noAutofit/>
                        </wps:bodyPr>
                      </wps:wsp>
                      <wps:wsp>
                        <wps:cNvPr id="1487" name="Rectangle 1487"/>
                        <wps:cNvSpPr/>
                        <wps:spPr>
                          <a:xfrm>
                            <a:off x="4743146" y="5706542"/>
                            <a:ext cx="1013865" cy="187490"/>
                          </a:xfrm>
                          <a:prstGeom prst="rect">
                            <a:avLst/>
                          </a:prstGeom>
                          <a:ln>
                            <a:noFill/>
                          </a:ln>
                        </wps:spPr>
                        <wps:txbx>
                          <w:txbxContent>
                            <w:p w14:paraId="15A26BEB" w14:textId="77777777" w:rsidR="000A3897" w:rsidRDefault="00000000">
                              <w:hyperlink r:id="rId4">
                                <w:r>
                                  <w:rPr>
                                    <w:rFonts w:ascii="Arial" w:eastAsia="Arial" w:hAnsi="Arial" w:cs="Arial"/>
                                    <w:color w:val="0000FF"/>
                                    <w:sz w:val="24"/>
                                    <w:u w:val="single" w:color="0000FF"/>
                                  </w:rPr>
                                  <w:t>Clique aqui</w:t>
                                </w:r>
                              </w:hyperlink>
                            </w:p>
                          </w:txbxContent>
                        </wps:txbx>
                        <wps:bodyPr horzOverflow="overflow" vert="horz" lIns="0" tIns="0" rIns="0" bIns="0" rtlCol="0">
                          <a:noAutofit/>
                        </wps:bodyPr>
                      </wps:wsp>
                      <wps:wsp>
                        <wps:cNvPr id="1486" name="Rectangle 1486"/>
                        <wps:cNvSpPr/>
                        <wps:spPr>
                          <a:xfrm>
                            <a:off x="5505450" y="5706542"/>
                            <a:ext cx="56348" cy="187490"/>
                          </a:xfrm>
                          <a:prstGeom prst="rect">
                            <a:avLst/>
                          </a:prstGeom>
                          <a:ln>
                            <a:noFill/>
                          </a:ln>
                        </wps:spPr>
                        <wps:txbx>
                          <w:txbxContent>
                            <w:p w14:paraId="54D044BE" w14:textId="77777777" w:rsidR="000A3897" w:rsidRDefault="00000000">
                              <w:hyperlink r:id="rId5">
                                <w:r>
                                  <w:rPr>
                                    <w:rFonts w:ascii="Arial" w:eastAsia="Arial" w:hAnsi="Arial" w:cs="Arial"/>
                                    <w:color w:val="0000FF"/>
                                    <w:sz w:val="24"/>
                                    <w:u w:val="single" w:color="0000FF"/>
                                  </w:rPr>
                                  <w:t>.</w:t>
                                </w:r>
                              </w:hyperlink>
                            </w:p>
                          </w:txbxContent>
                        </wps:txbx>
                        <wps:bodyPr horzOverflow="overflow" vert="horz" lIns="0" tIns="0" rIns="0" bIns="0" rtlCol="0">
                          <a:noAutofit/>
                        </wps:bodyPr>
                      </wps:wsp>
                      <pic:pic xmlns:pic="http://schemas.openxmlformats.org/drawingml/2006/picture">
                        <pic:nvPicPr>
                          <pic:cNvPr id="24" name="Picture 24"/>
                          <pic:cNvPicPr/>
                        </pic:nvPicPr>
                        <pic:blipFill>
                          <a:blip r:embed="rId6"/>
                          <a:stretch>
                            <a:fillRect/>
                          </a:stretch>
                        </pic:blipFill>
                        <pic:spPr>
                          <a:xfrm>
                            <a:off x="0" y="0"/>
                            <a:ext cx="7556500" cy="903224"/>
                          </a:xfrm>
                          <a:prstGeom prst="rect">
                            <a:avLst/>
                          </a:prstGeom>
                        </pic:spPr>
                      </pic:pic>
                      <wps:wsp>
                        <wps:cNvPr id="1894" name="Shape 1894"/>
                        <wps:cNvSpPr/>
                        <wps:spPr>
                          <a:xfrm>
                            <a:off x="508000" y="1778000"/>
                            <a:ext cx="6781800" cy="762000"/>
                          </a:xfrm>
                          <a:custGeom>
                            <a:avLst/>
                            <a:gdLst/>
                            <a:ahLst/>
                            <a:cxnLst/>
                            <a:rect l="0" t="0" r="0" b="0"/>
                            <a:pathLst>
                              <a:path w="6781800" h="762000">
                                <a:moveTo>
                                  <a:pt x="0" y="0"/>
                                </a:moveTo>
                                <a:lnTo>
                                  <a:pt x="6781800" y="0"/>
                                </a:lnTo>
                                <a:lnTo>
                                  <a:pt x="6781800" y="762000"/>
                                </a:lnTo>
                                <a:lnTo>
                                  <a:pt x="0" y="7620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s:wsp>
                        <wps:cNvPr id="26" name="Rectangle 26"/>
                        <wps:cNvSpPr/>
                        <wps:spPr>
                          <a:xfrm>
                            <a:off x="571500" y="1904644"/>
                            <a:ext cx="4454816" cy="328107"/>
                          </a:xfrm>
                          <a:prstGeom prst="rect">
                            <a:avLst/>
                          </a:prstGeom>
                          <a:ln>
                            <a:noFill/>
                          </a:ln>
                        </wps:spPr>
                        <wps:txbx>
                          <w:txbxContent>
                            <w:p w14:paraId="318ED887" w14:textId="77777777" w:rsidR="000A3897" w:rsidRDefault="00000000">
                              <w:r>
                                <w:rPr>
                                  <w:rFonts w:ascii="Arial" w:eastAsia="Arial" w:hAnsi="Arial" w:cs="Arial"/>
                                  <w:b/>
                                  <w:color w:val="FFFFFF"/>
                                  <w:sz w:val="42"/>
                                </w:rPr>
                                <w:t>Boletim de Jurisprudência</w:t>
                              </w:r>
                            </w:p>
                          </w:txbxContent>
                        </wps:txbx>
                        <wps:bodyPr horzOverflow="overflow" vert="horz" lIns="0" tIns="0" rIns="0" bIns="0" rtlCol="0">
                          <a:noAutofit/>
                        </wps:bodyPr>
                      </wps:wsp>
                      <wps:wsp>
                        <wps:cNvPr id="27" name="Rectangle 27"/>
                        <wps:cNvSpPr/>
                        <wps:spPr>
                          <a:xfrm>
                            <a:off x="571500" y="2215032"/>
                            <a:ext cx="2929204" cy="328107"/>
                          </a:xfrm>
                          <a:prstGeom prst="rect">
                            <a:avLst/>
                          </a:prstGeom>
                          <a:ln>
                            <a:noFill/>
                          </a:ln>
                        </wps:spPr>
                        <wps:txbx>
                          <w:txbxContent>
                            <w:p w14:paraId="62C82E6E" w14:textId="77777777" w:rsidR="000A3897" w:rsidRDefault="00000000">
                              <w:r>
                                <w:rPr>
                                  <w:rFonts w:ascii="Arial" w:eastAsia="Arial" w:hAnsi="Arial" w:cs="Arial"/>
                                  <w:b/>
                                  <w:color w:val="FFFFFF"/>
                                  <w:sz w:val="42"/>
                                </w:rPr>
                                <w:t>Processual, nº 10</w:t>
                              </w:r>
                            </w:p>
                          </w:txbxContent>
                        </wps:txbx>
                        <wps:bodyPr horzOverflow="overflow" vert="horz" lIns="0" tIns="0" rIns="0" bIns="0" rtlCol="0">
                          <a:noAutofit/>
                        </wps:bodyPr>
                      </wps:wsp>
                      <pic:pic xmlns:pic="http://schemas.openxmlformats.org/drawingml/2006/picture">
                        <pic:nvPicPr>
                          <pic:cNvPr id="1846" name="Picture 1846"/>
                          <pic:cNvPicPr/>
                        </pic:nvPicPr>
                        <pic:blipFill>
                          <a:blip r:embed="rId7"/>
                          <a:stretch>
                            <a:fillRect/>
                          </a:stretch>
                        </pic:blipFill>
                        <pic:spPr>
                          <a:xfrm>
                            <a:off x="60960" y="60960"/>
                            <a:ext cx="7482840" cy="905256"/>
                          </a:xfrm>
                          <a:prstGeom prst="rect">
                            <a:avLst/>
                          </a:prstGeom>
                        </pic:spPr>
                      </pic:pic>
                      <wps:wsp>
                        <wps:cNvPr id="30" name="Rectangle 30"/>
                        <wps:cNvSpPr/>
                        <wps:spPr>
                          <a:xfrm>
                            <a:off x="571500" y="2711755"/>
                            <a:ext cx="3695076" cy="187491"/>
                          </a:xfrm>
                          <a:prstGeom prst="rect">
                            <a:avLst/>
                          </a:prstGeom>
                          <a:ln>
                            <a:noFill/>
                          </a:ln>
                        </wps:spPr>
                        <wps:txbx>
                          <w:txbxContent>
                            <w:p w14:paraId="7F0B95AB" w14:textId="77777777" w:rsidR="000A3897" w:rsidRDefault="00000000">
                              <w:r>
                                <w:rPr>
                                  <w:rFonts w:ascii="Arial" w:eastAsia="Arial" w:hAnsi="Arial" w:cs="Arial"/>
                                  <w:b/>
                                  <w:sz w:val="24"/>
                                </w:rPr>
                                <w:t>Sessões de julho a dezembro de 2023.</w:t>
                              </w:r>
                            </w:p>
                          </w:txbxContent>
                        </wps:txbx>
                        <wps:bodyPr horzOverflow="overflow" vert="horz" lIns="0" tIns="0" rIns="0" bIns="0" rtlCol="0">
                          <a:noAutofit/>
                        </wps:bodyPr>
                      </wps:wsp>
                      <wps:wsp>
                        <wps:cNvPr id="31" name="Shape 31"/>
                        <wps:cNvSpPr/>
                        <wps:spPr>
                          <a:xfrm>
                            <a:off x="1905000" y="6515100"/>
                            <a:ext cx="3683000" cy="0"/>
                          </a:xfrm>
                          <a:custGeom>
                            <a:avLst/>
                            <a:gdLst/>
                            <a:ahLst/>
                            <a:cxnLst/>
                            <a:rect l="0" t="0" r="0" b="0"/>
                            <a:pathLst>
                              <a:path w="3683000">
                                <a:moveTo>
                                  <a:pt x="0" y="0"/>
                                </a:moveTo>
                                <a:lnTo>
                                  <a:pt x="3683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895" name="Shape 1895"/>
                        <wps:cNvSpPr/>
                        <wps:spPr>
                          <a:xfrm>
                            <a:off x="63500" y="6896100"/>
                            <a:ext cx="317500" cy="254000"/>
                          </a:xfrm>
                          <a:custGeom>
                            <a:avLst/>
                            <a:gdLst/>
                            <a:ahLst/>
                            <a:cxnLst/>
                            <a:rect l="0" t="0" r="0" b="0"/>
                            <a:pathLst>
                              <a:path w="317500" h="254000">
                                <a:moveTo>
                                  <a:pt x="0" y="0"/>
                                </a:moveTo>
                                <a:lnTo>
                                  <a:pt x="317500" y="0"/>
                                </a:lnTo>
                                <a:lnTo>
                                  <a:pt x="317500" y="254000"/>
                                </a:lnTo>
                                <a:lnTo>
                                  <a:pt x="0" y="2540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s:wsp>
                        <wps:cNvPr id="33" name="Rectangle 33"/>
                        <wps:cNvSpPr/>
                        <wps:spPr>
                          <a:xfrm>
                            <a:off x="172847" y="6933540"/>
                            <a:ext cx="131480" cy="218739"/>
                          </a:xfrm>
                          <a:prstGeom prst="rect">
                            <a:avLst/>
                          </a:prstGeom>
                          <a:ln>
                            <a:noFill/>
                          </a:ln>
                        </wps:spPr>
                        <wps:txbx>
                          <w:txbxContent>
                            <w:p w14:paraId="2D534F62" w14:textId="77777777" w:rsidR="000A3897" w:rsidRDefault="00000000">
                              <w:r>
                                <w:rPr>
                                  <w:rFonts w:ascii="Arial" w:eastAsia="Arial" w:hAnsi="Arial" w:cs="Arial"/>
                                  <w:b/>
                                  <w:color w:val="FFFFFF"/>
                                  <w:sz w:val="28"/>
                                </w:rPr>
                                <w:t>1</w:t>
                              </w:r>
                            </w:p>
                          </w:txbxContent>
                        </wps:txbx>
                        <wps:bodyPr horzOverflow="overflow" vert="horz" lIns="0" tIns="0" rIns="0" bIns="0" rtlCol="0">
                          <a:noAutofit/>
                        </wps:bodyPr>
                      </wps:wsp>
                      <wps:wsp>
                        <wps:cNvPr id="34" name="Rectangle 34"/>
                        <wps:cNvSpPr/>
                        <wps:spPr>
                          <a:xfrm>
                            <a:off x="457200" y="7633970"/>
                            <a:ext cx="9120296" cy="156242"/>
                          </a:xfrm>
                          <a:prstGeom prst="rect">
                            <a:avLst/>
                          </a:prstGeom>
                          <a:ln>
                            <a:noFill/>
                          </a:ln>
                        </wps:spPr>
                        <wps:txbx>
                          <w:txbxContent>
                            <w:p w14:paraId="0F0EBC51" w14:textId="77777777" w:rsidR="000A3897" w:rsidRDefault="00000000">
                              <w:r>
                                <w:rPr>
                                  <w:rFonts w:ascii="Arial" w:eastAsia="Arial" w:hAnsi="Arial" w:cs="Arial"/>
                                  <w:sz w:val="20"/>
                                </w:rPr>
                                <w:t>Estudos realizados por força da Decisão n.º 1.233/22, com vistas a avaliar os efeitos do julgamento, pelo Supremo</w:t>
                              </w:r>
                            </w:p>
                          </w:txbxContent>
                        </wps:txbx>
                        <wps:bodyPr horzOverflow="overflow" vert="horz" lIns="0" tIns="0" rIns="0" bIns="0" rtlCol="0">
                          <a:noAutofit/>
                        </wps:bodyPr>
                      </wps:wsp>
                      <wps:wsp>
                        <wps:cNvPr id="35" name="Rectangle 35"/>
                        <wps:cNvSpPr/>
                        <wps:spPr>
                          <a:xfrm>
                            <a:off x="457200" y="7781798"/>
                            <a:ext cx="9120127" cy="156242"/>
                          </a:xfrm>
                          <a:prstGeom prst="rect">
                            <a:avLst/>
                          </a:prstGeom>
                          <a:ln>
                            <a:noFill/>
                          </a:ln>
                        </wps:spPr>
                        <wps:txbx>
                          <w:txbxContent>
                            <w:p w14:paraId="1D5926EF" w14:textId="77777777" w:rsidR="000A3897" w:rsidRDefault="00000000">
                              <w:r>
                                <w:rPr>
                                  <w:rFonts w:ascii="Arial" w:eastAsia="Arial" w:hAnsi="Arial" w:cs="Arial"/>
                                  <w:sz w:val="20"/>
                                </w:rPr>
                                <w:t>Tribunal Federal  STF, da improcedência da ADI n.º 4.507/DF no tocante às deliberações desta Corte de Contas que</w:t>
                              </w:r>
                            </w:p>
                          </w:txbxContent>
                        </wps:txbx>
                        <wps:bodyPr horzOverflow="overflow" vert="horz" lIns="0" tIns="0" rIns="0" bIns="0" rtlCol="0">
                          <a:noAutofit/>
                        </wps:bodyPr>
                      </wps:wsp>
                      <wps:wsp>
                        <wps:cNvPr id="36" name="Rectangle 36"/>
                        <wps:cNvSpPr/>
                        <wps:spPr>
                          <a:xfrm>
                            <a:off x="457200" y="7929626"/>
                            <a:ext cx="9121142" cy="156242"/>
                          </a:xfrm>
                          <a:prstGeom prst="rect">
                            <a:avLst/>
                          </a:prstGeom>
                          <a:ln>
                            <a:noFill/>
                          </a:ln>
                        </wps:spPr>
                        <wps:txbx>
                          <w:txbxContent>
                            <w:p w14:paraId="66825874" w14:textId="77777777" w:rsidR="000A3897" w:rsidRDefault="00000000">
                              <w:r>
                                <w:rPr>
                                  <w:rFonts w:ascii="Arial" w:eastAsia="Arial" w:hAnsi="Arial" w:cs="Arial"/>
                                  <w:sz w:val="20"/>
                                </w:rPr>
                                <w:t>negaram validade às concessões fundamentadas no dispositivo legal impugnado naquela ADI (parágrafo único do art. 38</w:t>
                              </w:r>
                            </w:p>
                          </w:txbxContent>
                        </wps:txbx>
                        <wps:bodyPr horzOverflow="overflow" vert="horz" lIns="0" tIns="0" rIns="0" bIns="0" rtlCol="0">
                          <a:noAutofit/>
                        </wps:bodyPr>
                      </wps:wsp>
                      <wps:wsp>
                        <wps:cNvPr id="37" name="Rectangle 37"/>
                        <wps:cNvSpPr/>
                        <wps:spPr>
                          <a:xfrm>
                            <a:off x="457200" y="8077454"/>
                            <a:ext cx="9121142" cy="156242"/>
                          </a:xfrm>
                          <a:prstGeom prst="rect">
                            <a:avLst/>
                          </a:prstGeom>
                          <a:ln>
                            <a:noFill/>
                          </a:ln>
                        </wps:spPr>
                        <wps:txbx>
                          <w:txbxContent>
                            <w:p w14:paraId="516D022C" w14:textId="77777777" w:rsidR="000A3897" w:rsidRDefault="00000000">
                              <w:r>
                                <w:rPr>
                                  <w:rFonts w:ascii="Arial" w:eastAsia="Arial" w:hAnsi="Arial" w:cs="Arial"/>
                                  <w:sz w:val="20"/>
                                </w:rPr>
                                <w:t>da Lei n.º 10.486/02). O Tribunal, por unanimidade, decidiu em face dos efeitos vinculantes e da eficácia erga omnes do</w:t>
                              </w:r>
                            </w:p>
                          </w:txbxContent>
                        </wps:txbx>
                        <wps:bodyPr horzOverflow="overflow" vert="horz" lIns="0" tIns="0" rIns="0" bIns="0" rtlCol="0">
                          <a:noAutofit/>
                        </wps:bodyPr>
                      </wps:wsp>
                      <wps:wsp>
                        <wps:cNvPr id="38" name="Rectangle 38"/>
                        <wps:cNvSpPr/>
                        <wps:spPr>
                          <a:xfrm>
                            <a:off x="457200" y="8225283"/>
                            <a:ext cx="9121143" cy="156242"/>
                          </a:xfrm>
                          <a:prstGeom prst="rect">
                            <a:avLst/>
                          </a:prstGeom>
                          <a:ln>
                            <a:noFill/>
                          </a:ln>
                        </wps:spPr>
                        <wps:txbx>
                          <w:txbxContent>
                            <w:p w14:paraId="3BE7C5C1" w14:textId="77777777" w:rsidR="000A3897" w:rsidRDefault="00000000">
                              <w:r>
                                <w:rPr>
                                  <w:rFonts w:ascii="Arial" w:eastAsia="Arial" w:hAnsi="Arial" w:cs="Arial"/>
                                  <w:sz w:val="20"/>
                                </w:rPr>
                                <w:t>julgamento, pelo STF, de improcedência da ADI n.º 4.507/DF com declaração de constitucionalidade do parágrafo único</w:t>
                              </w:r>
                            </w:p>
                          </w:txbxContent>
                        </wps:txbx>
                        <wps:bodyPr horzOverflow="overflow" vert="horz" lIns="0" tIns="0" rIns="0" bIns="0" rtlCol="0">
                          <a:noAutofit/>
                        </wps:bodyPr>
                      </wps:wsp>
                      <wps:wsp>
                        <wps:cNvPr id="39" name="Rectangle 39"/>
                        <wps:cNvSpPr/>
                        <wps:spPr>
                          <a:xfrm>
                            <a:off x="457200" y="8373237"/>
                            <a:ext cx="9120296" cy="156242"/>
                          </a:xfrm>
                          <a:prstGeom prst="rect">
                            <a:avLst/>
                          </a:prstGeom>
                          <a:ln>
                            <a:noFill/>
                          </a:ln>
                        </wps:spPr>
                        <wps:txbx>
                          <w:txbxContent>
                            <w:p w14:paraId="4D401DBA" w14:textId="77777777" w:rsidR="000A3897" w:rsidRDefault="00000000">
                              <w:r>
                                <w:rPr>
                                  <w:rFonts w:ascii="Arial" w:eastAsia="Arial" w:hAnsi="Arial" w:cs="Arial"/>
                                  <w:sz w:val="20"/>
                                </w:rPr>
                                <w:t>do art. 38 da Lei n.º 10.486/02 - que trata da hipótese de concessão de pensão a herdeiros/dependentes de militar</w:t>
                              </w:r>
                            </w:p>
                          </w:txbxContent>
                        </wps:txbx>
                        <wps:bodyPr horzOverflow="overflow" vert="horz" lIns="0" tIns="0" rIns="0" bIns="0" rtlCol="0">
                          <a:noAutofit/>
                        </wps:bodyPr>
                      </wps:wsp>
                      <wps:wsp>
                        <wps:cNvPr id="40" name="Rectangle 40"/>
                        <wps:cNvSpPr/>
                        <wps:spPr>
                          <a:xfrm>
                            <a:off x="457200" y="8521065"/>
                            <a:ext cx="9121143" cy="156242"/>
                          </a:xfrm>
                          <a:prstGeom prst="rect">
                            <a:avLst/>
                          </a:prstGeom>
                          <a:ln>
                            <a:noFill/>
                          </a:ln>
                        </wps:spPr>
                        <wps:txbx>
                          <w:txbxContent>
                            <w:p w14:paraId="2331D26C" w14:textId="77777777" w:rsidR="000A3897" w:rsidRDefault="00000000">
                              <w:r>
                                <w:rPr>
                                  <w:rFonts w:ascii="Arial" w:eastAsia="Arial" w:hAnsi="Arial" w:cs="Arial"/>
                                  <w:sz w:val="20"/>
                                </w:rPr>
                                <w:t>distrital (com mais de dez anos de serviço) licenciado ou excluído a bem da disciplina da Corporação (morte ficta) -, ao</w:t>
                              </w:r>
                            </w:p>
                          </w:txbxContent>
                        </wps:txbx>
                        <wps:bodyPr horzOverflow="overflow" vert="horz" lIns="0" tIns="0" rIns="0" bIns="0" rtlCol="0">
                          <a:noAutofit/>
                        </wps:bodyPr>
                      </wps:wsp>
                      <wps:wsp>
                        <wps:cNvPr id="41" name="Rectangle 41"/>
                        <wps:cNvSpPr/>
                        <wps:spPr>
                          <a:xfrm>
                            <a:off x="457200" y="8668893"/>
                            <a:ext cx="9121142" cy="156242"/>
                          </a:xfrm>
                          <a:prstGeom prst="rect">
                            <a:avLst/>
                          </a:prstGeom>
                          <a:ln>
                            <a:noFill/>
                          </a:ln>
                        </wps:spPr>
                        <wps:txbx>
                          <w:txbxContent>
                            <w:p w14:paraId="5AEEDF06" w14:textId="77777777" w:rsidR="000A3897" w:rsidRDefault="00000000">
                              <w:r>
                                <w:rPr>
                                  <w:rFonts w:ascii="Arial" w:eastAsia="Arial" w:hAnsi="Arial" w:cs="Arial"/>
                                  <w:sz w:val="20"/>
                                </w:rPr>
                                <w:t>se compreender afastada a alegação de vício de inconstitucionalidade formal daquela norma, no que diz respeito a ter</w:t>
                              </w:r>
                            </w:p>
                          </w:txbxContent>
                        </wps:txbx>
                        <wps:bodyPr horzOverflow="overflow" vert="horz" lIns="0" tIns="0" rIns="0" bIns="0" rtlCol="0">
                          <a:noAutofit/>
                        </wps:bodyPr>
                      </wps:wsp>
                      <wps:wsp>
                        <wps:cNvPr id="42" name="Rectangle 42"/>
                        <wps:cNvSpPr/>
                        <wps:spPr>
                          <a:xfrm>
                            <a:off x="457200" y="8816721"/>
                            <a:ext cx="9121815" cy="156242"/>
                          </a:xfrm>
                          <a:prstGeom prst="rect">
                            <a:avLst/>
                          </a:prstGeom>
                          <a:ln>
                            <a:noFill/>
                          </a:ln>
                        </wps:spPr>
                        <wps:txbx>
                          <w:txbxContent>
                            <w:p w14:paraId="1BA81DE3" w14:textId="77777777" w:rsidR="000A3897" w:rsidRDefault="00000000">
                              <w:r>
                                <w:rPr>
                                  <w:rFonts w:ascii="Arial" w:eastAsia="Arial" w:hAnsi="Arial" w:cs="Arial"/>
                                  <w:sz w:val="20"/>
                                </w:rPr>
                                <w:t>sido introduzida por emenda parlamentar no processo legislativo de conversão em lei da medida provisória de origem</w:t>
                              </w:r>
                            </w:p>
                          </w:txbxContent>
                        </wps:txbx>
                        <wps:bodyPr horzOverflow="overflow" vert="horz" lIns="0" tIns="0" rIns="0" bIns="0" rtlCol="0">
                          <a:noAutofit/>
                        </wps:bodyPr>
                      </wps:wsp>
                      <wps:wsp>
                        <wps:cNvPr id="1478" name="Rectangle 1478"/>
                        <wps:cNvSpPr/>
                        <wps:spPr>
                          <a:xfrm>
                            <a:off x="457200" y="8964549"/>
                            <a:ext cx="56247" cy="156242"/>
                          </a:xfrm>
                          <a:prstGeom prst="rect">
                            <a:avLst/>
                          </a:prstGeom>
                          <a:ln>
                            <a:noFill/>
                          </a:ln>
                        </wps:spPr>
                        <wps:txbx>
                          <w:txbxContent>
                            <w:p w14:paraId="62C3A353" w14:textId="77777777" w:rsidR="000A3897" w:rsidRDefault="00000000">
                              <w:r>
                                <w:rPr>
                                  <w:rFonts w:ascii="Arial" w:eastAsia="Arial" w:hAnsi="Arial" w:cs="Arial"/>
                                  <w:sz w:val="20"/>
                                </w:rPr>
                                <w:t>(</w:t>
                              </w:r>
                            </w:p>
                          </w:txbxContent>
                        </wps:txbx>
                        <wps:bodyPr horzOverflow="overflow" vert="horz" lIns="0" tIns="0" rIns="0" bIns="0" rtlCol="0">
                          <a:noAutofit/>
                        </wps:bodyPr>
                      </wps:wsp>
                      <wps:wsp>
                        <wps:cNvPr id="1479" name="Rectangle 1479"/>
                        <wps:cNvSpPr/>
                        <wps:spPr>
                          <a:xfrm>
                            <a:off x="499491" y="8964549"/>
                            <a:ext cx="9065399" cy="156242"/>
                          </a:xfrm>
                          <a:prstGeom prst="rect">
                            <a:avLst/>
                          </a:prstGeom>
                          <a:ln>
                            <a:noFill/>
                          </a:ln>
                        </wps:spPr>
                        <wps:txbx>
                          <w:txbxContent>
                            <w:p w14:paraId="4CC59AF6" w14:textId="77777777" w:rsidR="000A3897" w:rsidRDefault="00000000">
                              <w:r>
                                <w:rPr>
                                  <w:rFonts w:ascii="Arial" w:eastAsia="Arial" w:hAnsi="Arial" w:cs="Arial"/>
                                  <w:sz w:val="20"/>
                                </w:rPr>
                                <w:t>MPv n.º 2.218/01) e gerar aumento de despesa vedado em matéria de iniciativa legislativa reservada ao Poder</w:t>
                              </w:r>
                            </w:p>
                          </w:txbxContent>
                        </wps:txbx>
                        <wps:bodyPr horzOverflow="overflow" vert="horz" lIns="0" tIns="0" rIns="0" bIns="0" rtlCol="0">
                          <a:noAutofit/>
                        </wps:bodyPr>
                      </wps:wsp>
                      <wps:wsp>
                        <wps:cNvPr id="44" name="Rectangle 44"/>
                        <wps:cNvSpPr/>
                        <wps:spPr>
                          <a:xfrm>
                            <a:off x="457200" y="9112377"/>
                            <a:ext cx="9120127" cy="156242"/>
                          </a:xfrm>
                          <a:prstGeom prst="rect">
                            <a:avLst/>
                          </a:prstGeom>
                          <a:ln>
                            <a:noFill/>
                          </a:ln>
                        </wps:spPr>
                        <wps:txbx>
                          <w:txbxContent>
                            <w:p w14:paraId="6E3A1B82" w14:textId="77777777" w:rsidR="000A3897" w:rsidRDefault="00000000">
                              <w:r>
                                <w:rPr>
                                  <w:rFonts w:ascii="Arial" w:eastAsia="Arial" w:hAnsi="Arial" w:cs="Arial"/>
                                  <w:sz w:val="20"/>
                                </w:rPr>
                                <w:t>Executivo, considerar que não mais possuem eficácia jurídica tanto a Decisão n.º 3.046/07 quanto a Decisão n.º</w:t>
                              </w:r>
                            </w:p>
                          </w:txbxContent>
                        </wps:txbx>
                        <wps:bodyPr horzOverflow="overflow" vert="horz" lIns="0" tIns="0" rIns="0" bIns="0" rtlCol="0">
                          <a:noAutofit/>
                        </wps:bodyPr>
                      </wps:wsp>
                      <wps:wsp>
                        <wps:cNvPr id="1481" name="Rectangle 1481"/>
                        <wps:cNvSpPr/>
                        <wps:spPr>
                          <a:xfrm>
                            <a:off x="951484" y="9260205"/>
                            <a:ext cx="2206978" cy="156242"/>
                          </a:xfrm>
                          <a:prstGeom prst="rect">
                            <a:avLst/>
                          </a:prstGeom>
                          <a:ln>
                            <a:noFill/>
                          </a:ln>
                        </wps:spPr>
                        <wps:txbx>
                          <w:txbxContent>
                            <w:p w14:paraId="5CDD052D" w14:textId="77777777" w:rsidR="000A3897" w:rsidRDefault="00000000">
                              <w:r>
                                <w:rPr>
                                  <w:rFonts w:ascii="Arial" w:eastAsia="Arial" w:hAnsi="Arial" w:cs="Arial"/>
                                  <w:sz w:val="20"/>
                                </w:rPr>
                                <w:t>, deste Tribunal de Contas.</w:t>
                              </w:r>
                            </w:p>
                          </w:txbxContent>
                        </wps:txbx>
                        <wps:bodyPr horzOverflow="overflow" vert="horz" lIns="0" tIns="0" rIns="0" bIns="0" rtlCol="0">
                          <a:noAutofit/>
                        </wps:bodyPr>
                      </wps:wsp>
                      <wps:wsp>
                        <wps:cNvPr id="1480" name="Rectangle 1480"/>
                        <wps:cNvSpPr/>
                        <wps:spPr>
                          <a:xfrm>
                            <a:off x="457200" y="9260205"/>
                            <a:ext cx="657398" cy="156242"/>
                          </a:xfrm>
                          <a:prstGeom prst="rect">
                            <a:avLst/>
                          </a:prstGeom>
                          <a:ln>
                            <a:noFill/>
                          </a:ln>
                        </wps:spPr>
                        <wps:txbx>
                          <w:txbxContent>
                            <w:p w14:paraId="2AFF07FB" w14:textId="77777777" w:rsidR="000A3897" w:rsidRDefault="00000000">
                              <w:r>
                                <w:rPr>
                                  <w:rFonts w:ascii="Arial" w:eastAsia="Arial" w:hAnsi="Arial" w:cs="Arial"/>
                                  <w:sz w:val="20"/>
                                </w:rPr>
                                <w:t>4.091/10</w:t>
                              </w:r>
                            </w:p>
                          </w:txbxContent>
                        </wps:txbx>
                        <wps:bodyPr horzOverflow="overflow" vert="horz" lIns="0" tIns="0" rIns="0" bIns="0" rtlCol="0">
                          <a:noAutofit/>
                        </wps:bodyPr>
                      </wps:wsp>
                      <wps:wsp>
                        <wps:cNvPr id="46" name="Rectangle 46"/>
                        <wps:cNvSpPr/>
                        <wps:spPr>
                          <a:xfrm>
                            <a:off x="457200" y="9640570"/>
                            <a:ext cx="638142" cy="156242"/>
                          </a:xfrm>
                          <a:prstGeom prst="rect">
                            <a:avLst/>
                          </a:prstGeom>
                          <a:ln>
                            <a:noFill/>
                          </a:ln>
                        </wps:spPr>
                        <wps:txbx>
                          <w:txbxContent>
                            <w:p w14:paraId="3CC519BE" w14:textId="77777777" w:rsidR="000A3897" w:rsidRDefault="00000000">
                              <w:r>
                                <w:rPr>
                                  <w:rFonts w:ascii="Arial" w:eastAsia="Arial" w:hAnsi="Arial" w:cs="Arial"/>
                                  <w:b/>
                                  <w:sz w:val="20"/>
                                </w:rPr>
                                <w:t>Relator:</w:t>
                              </w:r>
                            </w:p>
                          </w:txbxContent>
                        </wps:txbx>
                        <wps:bodyPr horzOverflow="overflow" vert="horz" lIns="0" tIns="0" rIns="0" bIns="0" rtlCol="0">
                          <a:noAutofit/>
                        </wps:bodyPr>
                      </wps:wsp>
                      <wps:wsp>
                        <wps:cNvPr id="47" name="Rectangle 47"/>
                        <wps:cNvSpPr/>
                        <wps:spPr>
                          <a:xfrm>
                            <a:off x="3683000" y="9640570"/>
                            <a:ext cx="647770" cy="156242"/>
                          </a:xfrm>
                          <a:prstGeom prst="rect">
                            <a:avLst/>
                          </a:prstGeom>
                          <a:ln>
                            <a:noFill/>
                          </a:ln>
                        </wps:spPr>
                        <wps:txbx>
                          <w:txbxContent>
                            <w:p w14:paraId="79EED958" w14:textId="77777777" w:rsidR="000A3897" w:rsidRDefault="00000000">
                              <w:r>
                                <w:rPr>
                                  <w:rFonts w:ascii="Arial" w:eastAsia="Arial" w:hAnsi="Arial" w:cs="Arial"/>
                                  <w:b/>
                                  <w:sz w:val="20"/>
                                </w:rPr>
                                <w:t>Sessão:</w:t>
                              </w:r>
                            </w:p>
                          </w:txbxContent>
                        </wps:txbx>
                        <wps:bodyPr horzOverflow="overflow" vert="horz" lIns="0" tIns="0" rIns="0" bIns="0" rtlCol="0">
                          <a:noAutofit/>
                        </wps:bodyPr>
                      </wps:wsp>
                      <wps:wsp>
                        <wps:cNvPr id="48" name="Rectangle 48"/>
                        <wps:cNvSpPr/>
                        <wps:spPr>
                          <a:xfrm>
                            <a:off x="457200" y="6922770"/>
                            <a:ext cx="9120802" cy="156242"/>
                          </a:xfrm>
                          <a:prstGeom prst="rect">
                            <a:avLst/>
                          </a:prstGeom>
                          <a:ln>
                            <a:noFill/>
                          </a:ln>
                        </wps:spPr>
                        <wps:txbx>
                          <w:txbxContent>
                            <w:p w14:paraId="51CD2B36" w14:textId="77777777" w:rsidR="000A3897" w:rsidRDefault="00000000">
                              <w:r>
                                <w:rPr>
                                  <w:rFonts w:ascii="Arial" w:eastAsia="Arial" w:hAnsi="Arial" w:cs="Arial"/>
                                  <w:b/>
                                  <w:sz w:val="20"/>
                                </w:rPr>
                                <w:t>PESSOAL. PROCESSUAL. ESTUDOS ESPECIAIS. DECLARAÇÃO DE CONSTITUCIONALIDADE. SUPREMO</w:t>
                              </w:r>
                            </w:p>
                          </w:txbxContent>
                        </wps:txbx>
                        <wps:bodyPr horzOverflow="overflow" vert="horz" lIns="0" tIns="0" rIns="0" bIns="0" rtlCol="0">
                          <a:noAutofit/>
                        </wps:bodyPr>
                      </wps:wsp>
                      <wps:wsp>
                        <wps:cNvPr id="49" name="Rectangle 49"/>
                        <wps:cNvSpPr/>
                        <wps:spPr>
                          <a:xfrm>
                            <a:off x="457200" y="7070598"/>
                            <a:ext cx="9121143" cy="156242"/>
                          </a:xfrm>
                          <a:prstGeom prst="rect">
                            <a:avLst/>
                          </a:prstGeom>
                          <a:ln>
                            <a:noFill/>
                          </a:ln>
                        </wps:spPr>
                        <wps:txbx>
                          <w:txbxContent>
                            <w:p w14:paraId="56F0B7AE" w14:textId="77777777" w:rsidR="000A3897" w:rsidRDefault="00000000">
                              <w:r>
                                <w:rPr>
                                  <w:rFonts w:ascii="Arial" w:eastAsia="Arial" w:hAnsi="Arial" w:cs="Arial"/>
                                  <w:b/>
                                  <w:sz w:val="20"/>
                                </w:rPr>
                                <w:t>TRIBUNAL FEDERAL - STF. EFEITO VINCULANTE. ART. 38 DA LEI N. 10.486/2002. MILITAR DISTRITAL. MORTE</w:t>
                              </w:r>
                            </w:p>
                          </w:txbxContent>
                        </wps:txbx>
                        <wps:bodyPr horzOverflow="overflow" vert="horz" lIns="0" tIns="0" rIns="0" bIns="0" rtlCol="0">
                          <a:noAutofit/>
                        </wps:bodyPr>
                      </wps:wsp>
                      <wps:wsp>
                        <wps:cNvPr id="50" name="Rectangle 50"/>
                        <wps:cNvSpPr/>
                        <wps:spPr>
                          <a:xfrm>
                            <a:off x="457200" y="7218426"/>
                            <a:ext cx="8818976" cy="156242"/>
                          </a:xfrm>
                          <a:prstGeom prst="rect">
                            <a:avLst/>
                          </a:prstGeom>
                          <a:ln>
                            <a:noFill/>
                          </a:ln>
                        </wps:spPr>
                        <wps:txbx>
                          <w:txbxContent>
                            <w:p w14:paraId="461642E1" w14:textId="77777777" w:rsidR="000A3897" w:rsidRDefault="00000000">
                              <w:r>
                                <w:rPr>
                                  <w:rFonts w:ascii="Arial" w:eastAsia="Arial" w:hAnsi="Arial" w:cs="Arial"/>
                                  <w:b/>
                                  <w:sz w:val="20"/>
                                </w:rPr>
                                <w:t>FICTA. PENSÃO. CONCESSÃO. DECISÕES TCDF N. 3.046/07 E N. 4.091/10. PERDA DA EFICÁCIA JURÍDICA.</w:t>
                              </w:r>
                            </w:p>
                          </w:txbxContent>
                        </wps:txbx>
                        <wps:bodyPr horzOverflow="overflow" vert="horz" lIns="0" tIns="0" rIns="0" bIns="0" rtlCol="0">
                          <a:noAutofit/>
                        </wps:bodyPr>
                      </wps:wsp>
                    </wpg:wgp>
                  </a:graphicData>
                </a:graphic>
              </wp:anchor>
            </w:drawing>
          </mc:Choice>
          <mc:Fallback xmlns:a="http://schemas.openxmlformats.org/drawingml/2006/main">
            <w:pict>
              <v:group id="Group 1489" style="width:595pt;height:842pt;position:absolute;mso-position-horizontal-relative:page;mso-position-horizontal:absolute;margin-left:0pt;mso-position-vertical-relative:page;margin-top:-7.62939e-06pt;" coordsize="75565,106934">
                <v:shape id="Shape 1896" style="position:absolute;width:4064;height:99314;left:0;top:0;" coordsize="406400,9931400" path="m0,0l406400,0l406400,9931400l0,9931400l0,0">
                  <v:stroke weight="0pt" endcap="square" joinstyle="miter" miterlimit="10" on="false" color="#000000" opacity="0"/>
                  <v:fill on="true" color="#01447f"/>
                </v:shape>
                <v:shape id="Shape 1897" style="position:absolute;width:75565;height:7620;left:0;top:99314;" coordsize="7556500,762000" path="m0,0l7556500,0l7556500,762000l0,762000l0,0">
                  <v:stroke weight="0pt" endcap="square" joinstyle="miter" miterlimit="10" on="false" color="#000000" opacity="0"/>
                  <v:fill on="true" color="#01447f"/>
                </v:shape>
                <v:rect id="Rectangle 8" style="position:absolute;width:3756;height:6249;left:67421;top:101235;" filled="f" stroked="f">
                  <v:textbox inset="0,0,0,0">
                    <w:txbxContent>
                      <w:p>
                        <w:pPr>
                          <w:spacing w:before="0" w:after="160" w:line="259" w:lineRule="auto"/>
                        </w:pPr>
                        <w:r>
                          <w:rPr>
                            <w:rFonts w:cs="Arial" w:hAnsi="Arial" w:eastAsia="Arial" w:ascii="Arial"/>
                            <w:b w:val="1"/>
                            <w:color w:val="ffffff"/>
                            <w:sz w:val="80"/>
                          </w:rPr>
                          <w:t xml:space="preserve">1</w:t>
                        </w:r>
                      </w:p>
                    </w:txbxContent>
                  </v:textbox>
                </v:rect>
                <v:rect id="Rectangle 10" style="position:absolute;width:90197;height:1874;left:5334;top:30419;" filled="f" stroked="f">
                  <v:textbox inset="0,0,0,0">
                    <w:txbxContent>
                      <w:p>
                        <w:pPr>
                          <w:spacing w:before="0" w:after="160" w:line="259" w:lineRule="auto"/>
                        </w:pPr>
                        <w:r>
                          <w:rPr>
                            <w:rFonts w:cs="Arial" w:hAnsi="Arial" w:eastAsia="Arial" w:ascii="Arial"/>
                            <w:sz w:val="24"/>
                          </w:rPr>
                          <w:t xml:space="preserve">     O Boletim de Jurisprudência do TCDF é uma publicação periódica elaborada pela Supervisão de</w:t>
                        </w:r>
                      </w:p>
                    </w:txbxContent>
                  </v:textbox>
                </v:rect>
                <v:rect id="Rectangle 11" style="position:absolute;width:90199;height:1874;left:5334;top:32841;" filled="f" stroked="f">
                  <v:textbox inset="0,0,0,0">
                    <w:txbxContent>
                      <w:p>
                        <w:pPr>
                          <w:spacing w:before="0" w:after="160" w:line="259" w:lineRule="auto"/>
                        </w:pPr>
                        <w:r>
                          <w:rPr>
                            <w:rFonts w:cs="Arial" w:hAnsi="Arial" w:eastAsia="Arial" w:ascii="Arial"/>
                            <w:sz w:val="24"/>
                          </w:rPr>
                          <w:t xml:space="preserve">Sistemas de Informação, Legislação e Jurisprudência, da Coordenadoria de Biblioteca, Gestão da</w:t>
                        </w:r>
                      </w:p>
                    </w:txbxContent>
                  </v:textbox>
                </v:rect>
                <v:rect id="Rectangle 12" style="position:absolute;width:90197;height:1874;left:5334;top:35264;" filled="f" stroked="f">
                  <v:textbox inset="0,0,0,0">
                    <w:txbxContent>
                      <w:p>
                        <w:pPr>
                          <w:spacing w:before="0" w:after="160" w:line="259" w:lineRule="auto"/>
                        </w:pPr>
                        <w:r>
                          <w:rPr>
                            <w:rFonts w:cs="Arial" w:hAnsi="Arial" w:eastAsia="Arial" w:ascii="Arial"/>
                            <w:sz w:val="24"/>
                          </w:rPr>
                          <w:t xml:space="preserve">Informação e do Conhecimento, com a finalidade de apresentar resumos das teses constantes em</w:t>
                        </w:r>
                      </w:p>
                    </w:txbxContent>
                  </v:textbox>
                </v:rect>
                <v:rect id="Rectangle 13" style="position:absolute;width:90193;height:1874;left:5334;top:37686;" filled="f" stroked="f">
                  <v:textbox inset="0,0,0,0">
                    <w:txbxContent>
                      <w:p>
                        <w:pPr>
                          <w:spacing w:before="0" w:after="160" w:line="259" w:lineRule="auto"/>
                        </w:pPr>
                        <w:r>
                          <w:rPr>
                            <w:rFonts w:cs="Arial" w:hAnsi="Arial" w:eastAsia="Arial" w:ascii="Arial"/>
                            <w:sz w:val="24"/>
                          </w:rPr>
                          <w:t xml:space="preserve">decisões desta Corte que se enquadrem em critérios de relevância, reiteração, ineditismo ou</w:t>
                        </w:r>
                      </w:p>
                    </w:txbxContent>
                  </v:textbox>
                </v:rect>
                <v:rect id="Rectangle 14" style="position:absolute;width:11602;height:1874;left:5334;top:40108;" filled="f" stroked="f">
                  <v:textbox inset="0,0,0,0">
                    <w:txbxContent>
                      <w:p>
                        <w:pPr>
                          <w:spacing w:before="0" w:after="160" w:line="259" w:lineRule="auto"/>
                        </w:pPr>
                        <w:r>
                          <w:rPr>
                            <w:rFonts w:cs="Arial" w:hAnsi="Arial" w:eastAsia="Arial" w:ascii="Arial"/>
                            <w:sz w:val="24"/>
                          </w:rPr>
                          <w:t xml:space="preserve">controvérsia.</w:t>
                        </w:r>
                      </w:p>
                    </w:txbxContent>
                  </v:textbox>
                </v:rect>
                <v:rect id="Rectangle 15" style="position:absolute;width:90197;height:1874;left:5334;top:42531;" filled="f" stroked="f">
                  <v:textbox inset="0,0,0,0">
                    <w:txbxContent>
                      <w:p>
                        <w:pPr>
                          <w:spacing w:before="0" w:after="160" w:line="259" w:lineRule="auto"/>
                        </w:pPr>
                        <w:r>
                          <w:rPr>
                            <w:rFonts w:cs="Arial" w:hAnsi="Arial" w:eastAsia="Arial" w:ascii="Arial"/>
                            <w:sz w:val="24"/>
                          </w:rPr>
                          <w:t xml:space="preserve">     Ressalta-se, todavia, que as informações aqui apresentadas não constituem resumo oficial das</w:t>
                        </w:r>
                      </w:p>
                    </w:txbxContent>
                  </v:textbox>
                </v:rect>
                <v:rect id="Rectangle 16" style="position:absolute;width:90194;height:1874;left:5334;top:44953;" filled="f" stroked="f">
                  <v:textbox inset="0,0,0,0">
                    <w:txbxContent>
                      <w:p>
                        <w:pPr>
                          <w:spacing w:before="0" w:after="160" w:line="259" w:lineRule="auto"/>
                        </w:pPr>
                        <w:r>
                          <w:rPr>
                            <w:rFonts w:cs="Arial" w:hAnsi="Arial" w:eastAsia="Arial" w:ascii="Arial"/>
                            <w:sz w:val="24"/>
                          </w:rPr>
                          <w:t xml:space="preserve">decisões proferidas pelo Tribunal nem representam, necessariamente, o posicionamento</w:t>
                        </w:r>
                      </w:p>
                    </w:txbxContent>
                  </v:textbox>
                </v:rect>
                <v:rect id="Rectangle 17" style="position:absolute;width:41601;height:1874;left:5334;top:47376;" filled="f" stroked="f">
                  <v:textbox inset="0,0,0,0">
                    <w:txbxContent>
                      <w:p>
                        <w:pPr>
                          <w:spacing w:before="0" w:after="160" w:line="259" w:lineRule="auto"/>
                        </w:pPr>
                        <w:r>
                          <w:rPr>
                            <w:rFonts w:cs="Arial" w:hAnsi="Arial" w:eastAsia="Arial" w:ascii="Arial"/>
                            <w:sz w:val="24"/>
                          </w:rPr>
                          <w:t xml:space="preserve">prevalecente na Corte sobre a matéria.</w:t>
                        </w:r>
                      </w:p>
                    </w:txbxContent>
                  </v:textbox>
                </v:rect>
                <v:rect id="Rectangle 18" style="position:absolute;width:90189;height:1874;left:5334;top:49798;" filled="f" stroked="f">
                  <v:textbox inset="0,0,0,0">
                    <w:txbxContent>
                      <w:p>
                        <w:pPr>
                          <w:spacing w:before="0" w:after="160" w:line="259" w:lineRule="auto"/>
                        </w:pPr>
                        <w:r>
                          <w:rPr>
                            <w:rFonts w:cs="Arial" w:hAnsi="Arial" w:eastAsia="Arial" w:ascii="Arial"/>
                            <w:sz w:val="24"/>
                          </w:rPr>
                          <w:t xml:space="preserve">     Este boletim informativo não substitui a publicação oficial das decisões. Para um exame mais</w:t>
                        </w:r>
                      </w:p>
                    </w:txbxContent>
                  </v:textbox>
                </v:rect>
                <v:rect id="Rectangle 19" style="position:absolute;width:90205;height:1874;left:5334;top:52220;" filled="f" stroked="f">
                  <v:textbox inset="0,0,0,0">
                    <w:txbxContent>
                      <w:p>
                        <w:pPr>
                          <w:spacing w:before="0" w:after="160" w:line="259" w:lineRule="auto"/>
                        </w:pPr>
                        <w:r>
                          <w:rPr>
                            <w:rFonts w:cs="Arial" w:hAnsi="Arial" w:eastAsia="Arial" w:ascii="Arial"/>
                            <w:sz w:val="24"/>
                          </w:rPr>
                          <w:t xml:space="preserve">aprofundado da decisão, sugere-se o acesso aos documentos do processo por meio dos links</w:t>
                        </w:r>
                      </w:p>
                    </w:txbxContent>
                  </v:textbox>
                </v:rect>
                <v:rect id="Rectangle 20" style="position:absolute;width:26666;height:1874;left:5334;top:54643;" filled="f" stroked="f">
                  <v:textbox inset="0,0,0,0">
                    <w:txbxContent>
                      <w:p>
                        <w:pPr>
                          <w:spacing w:before="0" w:after="160" w:line="259" w:lineRule="auto"/>
                        </w:pPr>
                        <w:r>
                          <w:rPr>
                            <w:rFonts w:cs="Arial" w:hAnsi="Arial" w:eastAsia="Arial" w:ascii="Arial"/>
                            <w:sz w:val="24"/>
                          </w:rPr>
                          <w:t xml:space="preserve">presentes em cada decisão.</w:t>
                        </w:r>
                      </w:p>
                    </w:txbxContent>
                  </v:textbox>
                </v:rect>
                <v:rect id="Rectangle 21" style="position:absolute;width:55989;height:1874;left:5334;top:57065;" filled="f" stroked="f">
                  <v:textbox inset="0,0,0,0">
                    <w:txbxContent>
                      <w:p>
                        <w:pPr>
                          <w:spacing w:before="0" w:after="160" w:line="259" w:lineRule="auto"/>
                        </w:pPr>
                        <w:r>
                          <w:rPr>
                            <w:rFonts w:cs="Arial" w:hAnsi="Arial" w:eastAsia="Arial" w:ascii="Arial"/>
                            <w:sz w:val="24"/>
                          </w:rPr>
                          <w:t xml:space="preserve">     Deseja receber os Boletins de Jurisprudência do Tribunal? </w:t>
                        </w:r>
                      </w:p>
                    </w:txbxContent>
                  </v:textbox>
                </v:rect>
                <v:rect id="Rectangle 1487" style="position:absolute;width:10138;height:1874;left:47431;top:57065;" filled="f" stroked="f">
                  <v:textbox inset="0,0,0,0">
                    <w:txbxContent>
                      <w:p>
                        <w:pPr>
                          <w:spacing w:before="0" w:after="160" w:line="259" w:lineRule="auto"/>
                        </w:pPr>
                        <w:hyperlink r:id="hyperlink51">
                          <w:r>
                            <w:rPr>
                              <w:rFonts w:cs="Arial" w:hAnsi="Arial" w:eastAsia="Arial" w:ascii="Arial"/>
                              <w:color w:val="0000ff"/>
                              <w:sz w:val="24"/>
                              <w:u w:val="single" w:color="0000ff"/>
                            </w:rPr>
                            <w:t xml:space="preserve">Clique aqui</w:t>
                          </w:r>
                        </w:hyperlink>
                      </w:p>
                    </w:txbxContent>
                  </v:textbox>
                </v:rect>
                <v:rect id="Rectangle 1486" style="position:absolute;width:563;height:1874;left:55054;top:57065;" filled="f" stroked="f">
                  <v:textbox inset="0,0,0,0">
                    <w:txbxContent>
                      <w:p>
                        <w:pPr>
                          <w:spacing w:before="0" w:after="160" w:line="259" w:lineRule="auto"/>
                        </w:pPr>
                        <w:hyperlink r:id="hyperlink51">
                          <w:r>
                            <w:rPr>
                              <w:rFonts w:cs="Arial" w:hAnsi="Arial" w:eastAsia="Arial" w:ascii="Arial"/>
                              <w:color w:val="0000ff"/>
                              <w:sz w:val="24"/>
                              <w:u w:val="single" w:color="0000ff"/>
                            </w:rPr>
                            <w:t xml:space="preserve">.</w:t>
                          </w:r>
                        </w:hyperlink>
                      </w:p>
                    </w:txbxContent>
                  </v:textbox>
                </v:rect>
                <v:shape id="Picture 24" style="position:absolute;width:75565;height:9032;left:0;top:0;" filled="f">
                  <v:imagedata r:id="rId8"/>
                </v:shape>
                <v:shape id="Shape 1898" style="position:absolute;width:67818;height:7620;left:5080;top:17780;" coordsize="6781800,762000" path="m0,0l6781800,0l6781800,762000l0,762000l0,0">
                  <v:stroke weight="0pt" endcap="square" joinstyle="miter" miterlimit="10" on="false" color="#000000" opacity="0"/>
                  <v:fill on="true" color="#01447f"/>
                </v:shape>
                <v:rect id="Rectangle 26" style="position:absolute;width:44548;height:3281;left:5715;top:19046;" filled="f" stroked="f">
                  <v:textbox inset="0,0,0,0">
                    <w:txbxContent>
                      <w:p>
                        <w:pPr>
                          <w:spacing w:before="0" w:after="160" w:line="259" w:lineRule="auto"/>
                        </w:pPr>
                        <w:r>
                          <w:rPr>
                            <w:rFonts w:cs="Arial" w:hAnsi="Arial" w:eastAsia="Arial" w:ascii="Arial"/>
                            <w:b w:val="1"/>
                            <w:color w:val="ffffff"/>
                            <w:sz w:val="42"/>
                          </w:rPr>
                          <w:t xml:space="preserve">Boletim de Jurisprudência</w:t>
                        </w:r>
                      </w:p>
                    </w:txbxContent>
                  </v:textbox>
                </v:rect>
                <v:rect id="Rectangle 27" style="position:absolute;width:29292;height:3281;left:5715;top:22150;" filled="f" stroked="f">
                  <v:textbox inset="0,0,0,0">
                    <w:txbxContent>
                      <w:p>
                        <w:pPr>
                          <w:spacing w:before="0" w:after="160" w:line="259" w:lineRule="auto"/>
                        </w:pPr>
                        <w:r>
                          <w:rPr>
                            <w:rFonts w:cs="Arial" w:hAnsi="Arial" w:eastAsia="Arial" w:ascii="Arial"/>
                            <w:b w:val="1"/>
                            <w:color w:val="ffffff"/>
                            <w:sz w:val="42"/>
                          </w:rPr>
                          <w:t xml:space="preserve">Processual, nº 10</w:t>
                        </w:r>
                      </w:p>
                    </w:txbxContent>
                  </v:textbox>
                </v:rect>
                <v:shape id="Picture 1846" style="position:absolute;width:74828;height:9052;left:609;top:609;" filled="f">
                  <v:imagedata r:id="rId9"/>
                </v:shape>
                <v:rect id="Rectangle 30" style="position:absolute;width:36950;height:1874;left:5715;top:27117;" filled="f" stroked="f">
                  <v:textbox inset="0,0,0,0">
                    <w:txbxContent>
                      <w:p>
                        <w:pPr>
                          <w:spacing w:before="0" w:after="160" w:line="259" w:lineRule="auto"/>
                        </w:pPr>
                        <w:r>
                          <w:rPr>
                            <w:rFonts w:cs="Arial" w:hAnsi="Arial" w:eastAsia="Arial" w:ascii="Arial"/>
                            <w:b w:val="1"/>
                            <w:sz w:val="24"/>
                          </w:rPr>
                          <w:t xml:space="preserve">Sessões de julho a dezembro de 2023.</w:t>
                        </w:r>
                      </w:p>
                    </w:txbxContent>
                  </v:textbox>
                </v:rect>
                <v:shape id="Shape 31" style="position:absolute;width:36830;height:0;left:19050;top:65151;" coordsize="3683000,0" path="m0,0l3683000,0">
                  <v:stroke weight="1pt" endcap="flat" joinstyle="miter" miterlimit="10" on="true" color="#000000"/>
                  <v:fill on="false" color="#000000" opacity="0"/>
                </v:shape>
                <v:shape id="Shape 1899" style="position:absolute;width:3175;height:2540;left:635;top:68961;" coordsize="317500,254000" path="m0,0l317500,0l317500,254000l0,254000l0,0">
                  <v:stroke weight="0pt" endcap="square" joinstyle="miter" miterlimit="10" on="false" color="#000000" opacity="0"/>
                  <v:fill on="true" color="#01447f"/>
                </v:shape>
                <v:rect id="Rectangle 33" style="position:absolute;width:1314;height:2187;left:1728;top:69335;" filled="f" stroked="f">
                  <v:textbox inset="0,0,0,0">
                    <w:txbxContent>
                      <w:p>
                        <w:pPr>
                          <w:spacing w:before="0" w:after="160" w:line="259" w:lineRule="auto"/>
                        </w:pPr>
                        <w:r>
                          <w:rPr>
                            <w:rFonts w:cs="Arial" w:hAnsi="Arial" w:eastAsia="Arial" w:ascii="Arial"/>
                            <w:b w:val="1"/>
                            <w:color w:val="ffffff"/>
                            <w:sz w:val="28"/>
                          </w:rPr>
                          <w:t xml:space="preserve">1</w:t>
                        </w:r>
                      </w:p>
                    </w:txbxContent>
                  </v:textbox>
                </v:rect>
                <v:rect id="Rectangle 34" style="position:absolute;width:91202;height:1562;left:4572;top:76339;" filled="f" stroked="f">
                  <v:textbox inset="0,0,0,0">
                    <w:txbxContent>
                      <w:p>
                        <w:pPr>
                          <w:spacing w:before="0" w:after="160" w:line="259" w:lineRule="auto"/>
                        </w:pPr>
                        <w:r>
                          <w:rPr>
                            <w:rFonts w:cs="Arial" w:hAnsi="Arial" w:eastAsia="Arial" w:ascii="Arial"/>
                            <w:sz w:val="20"/>
                          </w:rPr>
                          <w:t xml:space="preserve">Estudos realizados por força da Decisão n.º 1.233/22, com vistas a avaliar os efeitos do julgamento, pelo Supremo</w:t>
                        </w:r>
                      </w:p>
                    </w:txbxContent>
                  </v:textbox>
                </v:rect>
                <v:rect id="Rectangle 35" style="position:absolute;width:91201;height:1562;left:4572;top:77817;" filled="f" stroked="f">
                  <v:textbox inset="0,0,0,0">
                    <w:txbxContent>
                      <w:p>
                        <w:pPr>
                          <w:spacing w:before="0" w:after="160" w:line="259" w:lineRule="auto"/>
                        </w:pPr>
                        <w:r>
                          <w:rPr>
                            <w:rFonts w:cs="Arial" w:hAnsi="Arial" w:eastAsia="Arial" w:ascii="Arial"/>
                            <w:sz w:val="20"/>
                          </w:rPr>
                          <w:t xml:space="preserve">Tribunal Federal  STF, da improcedência da ADI n.º 4.507/DF no tocante às deliberações desta Corte de Contas que</w:t>
                        </w:r>
                      </w:p>
                    </w:txbxContent>
                  </v:textbox>
                </v:rect>
                <v:rect id="Rectangle 36" style="position:absolute;width:91211;height:1562;left:4572;top:79296;" filled="f" stroked="f">
                  <v:textbox inset="0,0,0,0">
                    <w:txbxContent>
                      <w:p>
                        <w:pPr>
                          <w:spacing w:before="0" w:after="160" w:line="259" w:lineRule="auto"/>
                        </w:pPr>
                        <w:r>
                          <w:rPr>
                            <w:rFonts w:cs="Arial" w:hAnsi="Arial" w:eastAsia="Arial" w:ascii="Arial"/>
                            <w:sz w:val="20"/>
                          </w:rPr>
                          <w:t xml:space="preserve">negaram validade às concessões fundamentadas no dispositivo legal impugnado naquela ADI (parágrafo único do art. 38</w:t>
                        </w:r>
                      </w:p>
                    </w:txbxContent>
                  </v:textbox>
                </v:rect>
                <v:rect id="Rectangle 37" style="position:absolute;width:91211;height:1562;left:4572;top:80774;" filled="f" stroked="f">
                  <v:textbox inset="0,0,0,0">
                    <w:txbxContent>
                      <w:p>
                        <w:pPr>
                          <w:spacing w:before="0" w:after="160" w:line="259" w:lineRule="auto"/>
                        </w:pPr>
                        <w:r>
                          <w:rPr>
                            <w:rFonts w:cs="Arial" w:hAnsi="Arial" w:eastAsia="Arial" w:ascii="Arial"/>
                            <w:sz w:val="20"/>
                          </w:rPr>
                          <w:t xml:space="preserve">da Lei n.º 10.486/02). O Tribunal, por unanimidade, decidiu em face dos efeitos vinculantes e da eficácia erga omnes do</w:t>
                        </w:r>
                      </w:p>
                    </w:txbxContent>
                  </v:textbox>
                </v:rect>
                <v:rect id="Rectangle 38" style="position:absolute;width:91211;height:1562;left:4572;top:82252;" filled="f" stroked="f">
                  <v:textbox inset="0,0,0,0">
                    <w:txbxContent>
                      <w:p>
                        <w:pPr>
                          <w:spacing w:before="0" w:after="160" w:line="259" w:lineRule="auto"/>
                        </w:pPr>
                        <w:r>
                          <w:rPr>
                            <w:rFonts w:cs="Arial" w:hAnsi="Arial" w:eastAsia="Arial" w:ascii="Arial"/>
                            <w:sz w:val="20"/>
                          </w:rPr>
                          <w:t xml:space="preserve">julgamento, pelo STF, de improcedência da ADI n.º 4.507/DF com declaração de constitucionalidade do parágrafo único</w:t>
                        </w:r>
                      </w:p>
                    </w:txbxContent>
                  </v:textbox>
                </v:rect>
                <v:rect id="Rectangle 39" style="position:absolute;width:91202;height:1562;left:4572;top:83732;" filled="f" stroked="f">
                  <v:textbox inset="0,0,0,0">
                    <w:txbxContent>
                      <w:p>
                        <w:pPr>
                          <w:spacing w:before="0" w:after="160" w:line="259" w:lineRule="auto"/>
                        </w:pPr>
                        <w:r>
                          <w:rPr>
                            <w:rFonts w:cs="Arial" w:hAnsi="Arial" w:eastAsia="Arial" w:ascii="Arial"/>
                            <w:sz w:val="20"/>
                          </w:rPr>
                          <w:t xml:space="preserve">do art. 38 da Lei n.º 10.486/02 - que trata da hipótese de concessão de pensão a herdeiros/dependentes de militar</w:t>
                        </w:r>
                      </w:p>
                    </w:txbxContent>
                  </v:textbox>
                </v:rect>
                <v:rect id="Rectangle 40" style="position:absolute;width:91211;height:1562;left:4572;top:85210;" filled="f" stroked="f">
                  <v:textbox inset="0,0,0,0">
                    <w:txbxContent>
                      <w:p>
                        <w:pPr>
                          <w:spacing w:before="0" w:after="160" w:line="259" w:lineRule="auto"/>
                        </w:pPr>
                        <w:r>
                          <w:rPr>
                            <w:rFonts w:cs="Arial" w:hAnsi="Arial" w:eastAsia="Arial" w:ascii="Arial"/>
                            <w:sz w:val="20"/>
                          </w:rPr>
                          <w:t xml:space="preserve">distrital (com mais de dez anos de serviço) licenciado ou excluído a bem da disciplina da Corporação (morte ficta) -, ao</w:t>
                        </w:r>
                      </w:p>
                    </w:txbxContent>
                  </v:textbox>
                </v:rect>
                <v:rect id="Rectangle 41" style="position:absolute;width:91211;height:1562;left:4572;top:86688;" filled="f" stroked="f">
                  <v:textbox inset="0,0,0,0">
                    <w:txbxContent>
                      <w:p>
                        <w:pPr>
                          <w:spacing w:before="0" w:after="160" w:line="259" w:lineRule="auto"/>
                        </w:pPr>
                        <w:r>
                          <w:rPr>
                            <w:rFonts w:cs="Arial" w:hAnsi="Arial" w:eastAsia="Arial" w:ascii="Arial"/>
                            <w:sz w:val="20"/>
                          </w:rPr>
                          <w:t xml:space="preserve">se compreender afastada a alegação de vício de inconstitucionalidade formal daquela norma, no que diz respeito a ter</w:t>
                        </w:r>
                      </w:p>
                    </w:txbxContent>
                  </v:textbox>
                </v:rect>
                <v:rect id="Rectangle 42" style="position:absolute;width:91218;height:1562;left:4572;top:88167;" filled="f" stroked="f">
                  <v:textbox inset="0,0,0,0">
                    <w:txbxContent>
                      <w:p>
                        <w:pPr>
                          <w:spacing w:before="0" w:after="160" w:line="259" w:lineRule="auto"/>
                        </w:pPr>
                        <w:r>
                          <w:rPr>
                            <w:rFonts w:cs="Arial" w:hAnsi="Arial" w:eastAsia="Arial" w:ascii="Arial"/>
                            <w:sz w:val="20"/>
                          </w:rPr>
                          <w:t xml:space="preserve">sido introduzida por emenda parlamentar no processo legislativo de conversão em lei da medida provisória de origem</w:t>
                        </w:r>
                      </w:p>
                    </w:txbxContent>
                  </v:textbox>
                </v:rect>
                <v:rect id="Rectangle 1478" style="position:absolute;width:562;height:1562;left:4572;top:89645;" filled="f" stroked="f">
                  <v:textbox inset="0,0,0,0">
                    <w:txbxContent>
                      <w:p>
                        <w:pPr>
                          <w:spacing w:before="0" w:after="160" w:line="259" w:lineRule="auto"/>
                        </w:pPr>
                        <w:r>
                          <w:rPr>
                            <w:rFonts w:cs="Arial" w:hAnsi="Arial" w:eastAsia="Arial" w:ascii="Arial"/>
                            <w:sz w:val="20"/>
                          </w:rPr>
                          <w:t xml:space="preserve">(</w:t>
                        </w:r>
                      </w:p>
                    </w:txbxContent>
                  </v:textbox>
                </v:rect>
                <v:rect id="Rectangle 1479" style="position:absolute;width:90653;height:1562;left:4994;top:89645;" filled="f" stroked="f">
                  <v:textbox inset="0,0,0,0">
                    <w:txbxContent>
                      <w:p>
                        <w:pPr>
                          <w:spacing w:before="0" w:after="160" w:line="259" w:lineRule="auto"/>
                        </w:pPr>
                        <w:r>
                          <w:rPr>
                            <w:rFonts w:cs="Arial" w:hAnsi="Arial" w:eastAsia="Arial" w:ascii="Arial"/>
                            <w:sz w:val="20"/>
                          </w:rPr>
                          <w:t xml:space="preserve">MPv n.º 2.218/01) e gerar aumento de despesa vedado em matéria de iniciativa legislativa reservada ao Poder</w:t>
                        </w:r>
                      </w:p>
                    </w:txbxContent>
                  </v:textbox>
                </v:rect>
                <v:rect id="Rectangle 44" style="position:absolute;width:91201;height:1562;left:4572;top:91123;" filled="f" stroked="f">
                  <v:textbox inset="0,0,0,0">
                    <w:txbxContent>
                      <w:p>
                        <w:pPr>
                          <w:spacing w:before="0" w:after="160" w:line="259" w:lineRule="auto"/>
                        </w:pPr>
                        <w:r>
                          <w:rPr>
                            <w:rFonts w:cs="Arial" w:hAnsi="Arial" w:eastAsia="Arial" w:ascii="Arial"/>
                            <w:sz w:val="20"/>
                          </w:rPr>
                          <w:t xml:space="preserve">Executivo, considerar que não mais possuem eficácia jurídica tanto a Decisão n.º 3.046/07 quanto a Decisão n.º</w:t>
                        </w:r>
                      </w:p>
                    </w:txbxContent>
                  </v:textbox>
                </v:rect>
                <v:rect id="Rectangle 1481" style="position:absolute;width:22069;height:1562;left:9514;top:92602;" filled="f" stroked="f">
                  <v:textbox inset="0,0,0,0">
                    <w:txbxContent>
                      <w:p>
                        <w:pPr>
                          <w:spacing w:before="0" w:after="160" w:line="259" w:lineRule="auto"/>
                        </w:pPr>
                        <w:r>
                          <w:rPr>
                            <w:rFonts w:cs="Arial" w:hAnsi="Arial" w:eastAsia="Arial" w:ascii="Arial"/>
                            <w:sz w:val="20"/>
                          </w:rPr>
                          <w:t xml:space="preserve">, deste Tribunal de Contas.</w:t>
                        </w:r>
                      </w:p>
                    </w:txbxContent>
                  </v:textbox>
                </v:rect>
                <v:rect id="Rectangle 1480" style="position:absolute;width:6573;height:1562;left:4572;top:92602;" filled="f" stroked="f">
                  <v:textbox inset="0,0,0,0">
                    <w:txbxContent>
                      <w:p>
                        <w:pPr>
                          <w:spacing w:before="0" w:after="160" w:line="259" w:lineRule="auto"/>
                        </w:pPr>
                        <w:r>
                          <w:rPr>
                            <w:rFonts w:cs="Arial" w:hAnsi="Arial" w:eastAsia="Arial" w:ascii="Arial"/>
                            <w:sz w:val="20"/>
                          </w:rPr>
                          <w:t xml:space="preserve">4.091/10</w:t>
                        </w:r>
                      </w:p>
                    </w:txbxContent>
                  </v:textbox>
                </v:rect>
                <v:rect id="Rectangle 46" style="position:absolute;width:6381;height:1562;left:4572;top:96405;" filled="f" stroked="f">
                  <v:textbox inset="0,0,0,0">
                    <w:txbxContent>
                      <w:p>
                        <w:pPr>
                          <w:spacing w:before="0" w:after="160" w:line="259" w:lineRule="auto"/>
                        </w:pPr>
                        <w:r>
                          <w:rPr>
                            <w:rFonts w:cs="Arial" w:hAnsi="Arial" w:eastAsia="Arial" w:ascii="Arial"/>
                            <w:b w:val="1"/>
                            <w:sz w:val="20"/>
                          </w:rPr>
                          <w:t xml:space="preserve">Relator:</w:t>
                        </w:r>
                      </w:p>
                    </w:txbxContent>
                  </v:textbox>
                </v:rect>
                <v:rect id="Rectangle 47" style="position:absolute;width:6477;height:1562;left:36830;top:96405;" filled="f" stroked="f">
                  <v:textbox inset="0,0,0,0">
                    <w:txbxContent>
                      <w:p>
                        <w:pPr>
                          <w:spacing w:before="0" w:after="160" w:line="259" w:lineRule="auto"/>
                        </w:pPr>
                        <w:r>
                          <w:rPr>
                            <w:rFonts w:cs="Arial" w:hAnsi="Arial" w:eastAsia="Arial" w:ascii="Arial"/>
                            <w:b w:val="1"/>
                            <w:sz w:val="20"/>
                          </w:rPr>
                          <w:t xml:space="preserve">Sessão:</w:t>
                        </w:r>
                      </w:p>
                    </w:txbxContent>
                  </v:textbox>
                </v:rect>
                <v:rect id="Rectangle 48" style="position:absolute;width:91208;height:1562;left:4572;top:69227;" filled="f" stroked="f">
                  <v:textbox inset="0,0,0,0">
                    <w:txbxContent>
                      <w:p>
                        <w:pPr>
                          <w:spacing w:before="0" w:after="160" w:line="259" w:lineRule="auto"/>
                        </w:pPr>
                        <w:r>
                          <w:rPr>
                            <w:rFonts w:cs="Arial" w:hAnsi="Arial" w:eastAsia="Arial" w:ascii="Arial"/>
                            <w:b w:val="1"/>
                            <w:sz w:val="20"/>
                          </w:rPr>
                          <w:t xml:space="preserve">PESSOAL. PROCESSUAL. ESTUDOS ESPECIAIS. DECLARAÇÃO DE CONSTITUCIONALIDADE. SUPREMO</w:t>
                        </w:r>
                      </w:p>
                    </w:txbxContent>
                  </v:textbox>
                </v:rect>
                <v:rect id="Rectangle 49" style="position:absolute;width:91211;height:1562;left:4572;top:70705;" filled="f" stroked="f">
                  <v:textbox inset="0,0,0,0">
                    <w:txbxContent>
                      <w:p>
                        <w:pPr>
                          <w:spacing w:before="0" w:after="160" w:line="259" w:lineRule="auto"/>
                        </w:pPr>
                        <w:r>
                          <w:rPr>
                            <w:rFonts w:cs="Arial" w:hAnsi="Arial" w:eastAsia="Arial" w:ascii="Arial"/>
                            <w:b w:val="1"/>
                            <w:sz w:val="20"/>
                          </w:rPr>
                          <w:t xml:space="preserve">TRIBUNAL FEDERAL - STF. EFEITO VINCULANTE. ART. 38 DA LEI N. 10.486/2002. MILITAR DISTRITAL. MORTE</w:t>
                        </w:r>
                      </w:p>
                    </w:txbxContent>
                  </v:textbox>
                </v:rect>
                <v:rect id="Rectangle 50" style="position:absolute;width:88189;height:1562;left:4572;top:72184;" filled="f" stroked="f">
                  <v:textbox inset="0,0,0,0">
                    <w:txbxContent>
                      <w:p>
                        <w:pPr>
                          <w:spacing w:before="0" w:after="160" w:line="259" w:lineRule="auto"/>
                        </w:pPr>
                        <w:r>
                          <w:rPr>
                            <w:rFonts w:cs="Arial" w:hAnsi="Arial" w:eastAsia="Arial" w:ascii="Arial"/>
                            <w:b w:val="1"/>
                            <w:sz w:val="20"/>
                          </w:rPr>
                          <w:t xml:space="preserve">FICTA. PENSÃO. CONCESSÃO. DECISÕES TCDF N. 3.046/07 E N. 4.091/10. PERDA DA EFICÁCIA JURÍDICA.</w:t>
                        </w:r>
                      </w:p>
                    </w:txbxContent>
                  </v:textbox>
                </v:rect>
                <w10:wrap type="topAndBottom"/>
              </v:group>
            </w:pict>
          </mc:Fallback>
        </mc:AlternateContent>
      </w:r>
      <w:r>
        <w:br w:type="page"/>
      </w:r>
    </w:p>
    <w:p w14:paraId="0B627309" w14:textId="77777777" w:rsidR="000A3897" w:rsidRDefault="00000000">
      <w:pPr>
        <w:spacing w:after="100" w:line="425" w:lineRule="auto"/>
        <w:ind w:left="15" w:right="1634" w:hanging="10"/>
        <w:jc w:val="both"/>
      </w:pPr>
      <w:r>
        <w:rPr>
          <w:rFonts w:ascii="Arial" w:eastAsia="Arial" w:hAnsi="Arial" w:cs="Arial"/>
          <w:b/>
          <w:sz w:val="20"/>
        </w:rPr>
        <w:lastRenderedPageBreak/>
        <w:t>Manoel Paulo de Andrade Neto</w:t>
      </w:r>
      <w:r>
        <w:rPr>
          <w:rFonts w:ascii="Arial" w:eastAsia="Arial" w:hAnsi="Arial" w:cs="Arial"/>
          <w:b/>
          <w:sz w:val="20"/>
        </w:rPr>
        <w:tab/>
        <w:t>ORDINÁRIA nº 5349, de 19/07/2023. Decisão por unanimidade</w:t>
      </w:r>
      <w:r>
        <w:rPr>
          <w:rFonts w:ascii="Arial" w:eastAsia="Arial" w:hAnsi="Arial" w:cs="Arial"/>
          <w:b/>
          <w:sz w:val="20"/>
        </w:rPr>
        <w:tab/>
      </w:r>
      <w:hyperlink r:id="rId10">
        <w:r>
          <w:rPr>
            <w:rFonts w:ascii="Arial" w:eastAsia="Arial" w:hAnsi="Arial" w:cs="Arial"/>
            <w:color w:val="2205FC"/>
            <w:sz w:val="20"/>
            <w:u w:val="single" w:color="2205FC"/>
          </w:rPr>
          <w:t>Proc. nº 4027/2022 - Dec. nº 3183/2023</w:t>
        </w:r>
      </w:hyperlink>
    </w:p>
    <w:p w14:paraId="5AE3E7D3" w14:textId="77777777" w:rsidR="000A3897" w:rsidRDefault="00000000">
      <w:pPr>
        <w:spacing w:after="158" w:line="251" w:lineRule="auto"/>
        <w:ind w:left="15" w:hanging="10"/>
        <w:jc w:val="both"/>
      </w:pPr>
      <w:r>
        <w:rPr>
          <w:rFonts w:ascii="Arial" w:eastAsia="Arial" w:hAnsi="Arial" w:cs="Arial"/>
          <w:b/>
          <w:sz w:val="20"/>
        </w:rPr>
        <w:t>Decisões relacionadas:</w:t>
      </w:r>
    </w:p>
    <w:p w14:paraId="74417565" w14:textId="77777777" w:rsidR="000A3897" w:rsidRDefault="00000000">
      <w:pPr>
        <w:spacing w:after="167" w:line="265" w:lineRule="auto"/>
        <w:ind w:left="35" w:hanging="10"/>
      </w:pPr>
      <w:hyperlink r:id="rId11">
        <w:r>
          <w:rPr>
            <w:rFonts w:ascii="Arial" w:eastAsia="Arial" w:hAnsi="Arial" w:cs="Arial"/>
            <w:color w:val="2205FC"/>
            <w:sz w:val="20"/>
            <w:u w:val="single" w:color="2205FC"/>
          </w:rPr>
          <w:t>TCDF: Decisão nº 4091/2010</w:t>
        </w:r>
      </w:hyperlink>
    </w:p>
    <w:p w14:paraId="0E41AB8A" w14:textId="77777777" w:rsidR="000A3897" w:rsidRDefault="00000000">
      <w:pPr>
        <w:spacing w:after="247" w:line="265" w:lineRule="auto"/>
        <w:ind w:left="35" w:hanging="10"/>
      </w:pPr>
      <w:hyperlink r:id="rId12">
        <w:r>
          <w:rPr>
            <w:rFonts w:ascii="Arial" w:eastAsia="Arial" w:hAnsi="Arial" w:cs="Arial"/>
            <w:color w:val="2205FC"/>
            <w:sz w:val="20"/>
            <w:u w:val="single" w:color="2205FC"/>
          </w:rPr>
          <w:t>TCDF: Decisão nº 3046/2007</w:t>
        </w:r>
      </w:hyperlink>
    </w:p>
    <w:p w14:paraId="085E8CC0" w14:textId="77777777" w:rsidR="000A3897" w:rsidRDefault="00000000">
      <w:pPr>
        <w:spacing w:after="158" w:line="251" w:lineRule="auto"/>
        <w:ind w:left="15" w:hanging="10"/>
        <w:jc w:val="both"/>
      </w:pPr>
      <w:r>
        <w:rPr>
          <w:rFonts w:ascii="Arial" w:eastAsia="Arial" w:hAnsi="Arial" w:cs="Arial"/>
          <w:b/>
          <w:sz w:val="20"/>
        </w:rPr>
        <w:t>Precedentes externos:</w:t>
      </w:r>
    </w:p>
    <w:p w14:paraId="2E4A5D65" w14:textId="77777777" w:rsidR="000A3897" w:rsidRDefault="00000000">
      <w:pPr>
        <w:spacing w:after="227" w:line="265" w:lineRule="auto"/>
        <w:ind w:left="35" w:hanging="10"/>
      </w:pPr>
      <w:hyperlink r:id="rId13">
        <w:r>
          <w:rPr>
            <w:rFonts w:ascii="Arial" w:eastAsia="Arial" w:hAnsi="Arial" w:cs="Arial"/>
            <w:color w:val="2205FC"/>
            <w:sz w:val="20"/>
            <w:u w:val="single" w:color="2205FC"/>
          </w:rPr>
          <w:t>Decisão STF nº ADI n.º 4.507/DF</w:t>
        </w:r>
      </w:hyperlink>
    </w:p>
    <w:p w14:paraId="75EDB5A5" w14:textId="77777777" w:rsidR="000A3897" w:rsidRDefault="00000000">
      <w:pPr>
        <w:spacing w:after="158" w:line="251" w:lineRule="auto"/>
        <w:ind w:left="15" w:hanging="10"/>
        <w:jc w:val="both"/>
      </w:pPr>
      <w:r>
        <w:rPr>
          <w:rFonts w:ascii="Arial" w:eastAsia="Arial" w:hAnsi="Arial" w:cs="Arial"/>
          <w:b/>
          <w:sz w:val="20"/>
        </w:rPr>
        <w:t>Legislação relacionada:</w:t>
      </w:r>
    </w:p>
    <w:p w14:paraId="3B5E5F7F" w14:textId="77777777" w:rsidR="000A3897" w:rsidRDefault="00000000">
      <w:pPr>
        <w:spacing w:after="167" w:line="265" w:lineRule="auto"/>
        <w:ind w:left="35" w:hanging="10"/>
      </w:pPr>
      <w:hyperlink r:id="rId14">
        <w:r>
          <w:rPr>
            <w:rFonts w:ascii="Arial" w:eastAsia="Arial" w:hAnsi="Arial" w:cs="Arial"/>
            <w:color w:val="2205FC"/>
            <w:sz w:val="20"/>
            <w:u w:val="single" w:color="2205FC"/>
          </w:rPr>
          <w:t>Lei nº 10486/2002, Art. 38, § .</w:t>
        </w:r>
      </w:hyperlink>
    </w:p>
    <w:p w14:paraId="2E825BFC" w14:textId="77777777" w:rsidR="000A3897" w:rsidRDefault="00000000">
      <w:pPr>
        <w:spacing w:after="7" w:line="251" w:lineRule="auto"/>
        <w:ind w:left="15" w:hanging="10"/>
        <w:jc w:val="both"/>
      </w:pPr>
      <w:r>
        <w:rPr>
          <w:rFonts w:ascii="Arial" w:eastAsia="Arial" w:hAnsi="Arial" w:cs="Arial"/>
          <w:b/>
          <w:sz w:val="20"/>
        </w:rPr>
        <w:t>PROCESSUAL. PESSOAL. POLÍCIA MILITAR DO DISTRITO FEDERAL - PMDF. CONSULTA.  REQUISITOS. CASO</w:t>
      </w:r>
    </w:p>
    <w:p w14:paraId="5A0FAC03" w14:textId="77777777" w:rsidR="000A3897" w:rsidRDefault="00000000">
      <w:pPr>
        <w:spacing w:after="422" w:line="251" w:lineRule="auto"/>
        <w:ind w:left="15" w:hanging="10"/>
        <w:jc w:val="both"/>
      </w:pPr>
      <w:r>
        <w:rPr>
          <w:rFonts w:ascii="Arial" w:eastAsia="Arial" w:hAnsi="Arial" w:cs="Arial"/>
          <w:b/>
          <w:sz w:val="20"/>
        </w:rPr>
        <w:t>CONCRETO. NÃO CONHECIMENTO. TEMA RELEVANTE. ESCLARECIMENTO. CONCURSO PÚBLICO. EDITAL. ALTERAÇÃO. VAGAS. CLÁUSULA DE BARREIRA. FLEXIBILIZAÇÃO. REDUÇÃO DE PERCENTUAL. ENTENDIMENTOS DO STF E DO STJ. PRINCÍPIOS DA ADMINISTRAÇÃO PÚBLICA. AFRONTA.</w:t>
      </w:r>
    </w:p>
    <w:p w14:paraId="2646C449" w14:textId="77777777" w:rsidR="000A3897" w:rsidRDefault="00000000">
      <w:pPr>
        <w:spacing w:after="391" w:line="243" w:lineRule="auto"/>
        <w:ind w:left="20"/>
        <w:jc w:val="both"/>
      </w:pPr>
      <w:r>
        <w:rPr>
          <w:noProof/>
        </w:rPr>
        <mc:AlternateContent>
          <mc:Choice Requires="wpg">
            <w:drawing>
              <wp:anchor distT="0" distB="0" distL="114300" distR="114300" simplePos="0" relativeHeight="251659264" behindDoc="1" locked="0" layoutInCell="1" allowOverlap="1" wp14:anchorId="799422EB" wp14:editId="430C9326">
                <wp:simplePos x="0" y="0"/>
                <wp:positionH relativeFrom="column">
                  <wp:posOffset>-444499</wp:posOffset>
                </wp:positionH>
                <wp:positionV relativeFrom="paragraph">
                  <wp:posOffset>-3608070</wp:posOffset>
                </wp:positionV>
                <wp:extent cx="7556500" cy="10693400"/>
                <wp:effectExtent l="0" t="0" r="0" b="0"/>
                <wp:wrapNone/>
                <wp:docPr id="1569" name="Group 1569"/>
                <wp:cNvGraphicFramePr/>
                <a:graphic xmlns:a="http://schemas.openxmlformats.org/drawingml/2006/main">
                  <a:graphicData uri="http://schemas.microsoft.com/office/word/2010/wordprocessingGroup">
                    <wpg:wgp>
                      <wpg:cNvGrpSpPr/>
                      <wpg:grpSpPr>
                        <a:xfrm>
                          <a:off x="0" y="0"/>
                          <a:ext cx="7556500" cy="10693400"/>
                          <a:chOff x="0" y="0"/>
                          <a:chExt cx="7556500" cy="10693400"/>
                        </a:xfrm>
                      </wpg:grpSpPr>
                      <wps:wsp>
                        <wps:cNvPr id="1900" name="Shape 1900"/>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s:wsp>
                        <wps:cNvPr id="1901" name="Shape 1901"/>
                        <wps:cNvSpPr/>
                        <wps:spPr>
                          <a:xfrm>
                            <a:off x="0" y="9931400"/>
                            <a:ext cx="7556500" cy="762000"/>
                          </a:xfrm>
                          <a:custGeom>
                            <a:avLst/>
                            <a:gdLst/>
                            <a:ahLst/>
                            <a:cxnLst/>
                            <a:rect l="0" t="0" r="0" b="0"/>
                            <a:pathLst>
                              <a:path w="7556500" h="762000">
                                <a:moveTo>
                                  <a:pt x="0" y="0"/>
                                </a:moveTo>
                                <a:lnTo>
                                  <a:pt x="7556500" y="0"/>
                                </a:lnTo>
                                <a:lnTo>
                                  <a:pt x="7556500" y="762000"/>
                                </a:lnTo>
                                <a:lnTo>
                                  <a:pt x="0" y="7620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s:wsp>
                        <wps:cNvPr id="62" name="Rectangle 62"/>
                        <wps:cNvSpPr/>
                        <wps:spPr>
                          <a:xfrm>
                            <a:off x="6742176" y="10123551"/>
                            <a:ext cx="375656" cy="624967"/>
                          </a:xfrm>
                          <a:prstGeom prst="rect">
                            <a:avLst/>
                          </a:prstGeom>
                          <a:ln>
                            <a:noFill/>
                          </a:ln>
                        </wps:spPr>
                        <wps:txbx>
                          <w:txbxContent>
                            <w:p w14:paraId="1BB2DCD1" w14:textId="77777777" w:rsidR="000A3897" w:rsidRDefault="00000000">
                              <w:r>
                                <w:rPr>
                                  <w:rFonts w:ascii="Arial" w:eastAsia="Arial" w:hAnsi="Arial" w:cs="Arial"/>
                                  <w:b/>
                                  <w:color w:val="FFFFFF"/>
                                  <w:sz w:val="80"/>
                                </w:rPr>
                                <w:t>2</w:t>
                              </w:r>
                            </w:p>
                          </w:txbxContent>
                        </wps:txbx>
                        <wps:bodyPr horzOverflow="overflow" vert="horz" lIns="0" tIns="0" rIns="0" bIns="0" rtlCol="0">
                          <a:noAutofit/>
                        </wps:bodyPr>
                      </wps:wsp>
                      <wps:wsp>
                        <wps:cNvPr id="1902" name="Shape 1902"/>
                        <wps:cNvSpPr/>
                        <wps:spPr>
                          <a:xfrm>
                            <a:off x="63500" y="2717800"/>
                            <a:ext cx="317500" cy="254000"/>
                          </a:xfrm>
                          <a:custGeom>
                            <a:avLst/>
                            <a:gdLst/>
                            <a:ahLst/>
                            <a:cxnLst/>
                            <a:rect l="0" t="0" r="0" b="0"/>
                            <a:pathLst>
                              <a:path w="317500" h="254000">
                                <a:moveTo>
                                  <a:pt x="0" y="0"/>
                                </a:moveTo>
                                <a:lnTo>
                                  <a:pt x="317500" y="0"/>
                                </a:lnTo>
                                <a:lnTo>
                                  <a:pt x="317500" y="254000"/>
                                </a:lnTo>
                                <a:lnTo>
                                  <a:pt x="0" y="2540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s:wsp>
                        <wps:cNvPr id="80" name="Rectangle 80"/>
                        <wps:cNvSpPr/>
                        <wps:spPr>
                          <a:xfrm>
                            <a:off x="172847" y="2755240"/>
                            <a:ext cx="131480" cy="218739"/>
                          </a:xfrm>
                          <a:prstGeom prst="rect">
                            <a:avLst/>
                          </a:prstGeom>
                          <a:ln>
                            <a:noFill/>
                          </a:ln>
                        </wps:spPr>
                        <wps:txbx>
                          <w:txbxContent>
                            <w:p w14:paraId="73090A35" w14:textId="77777777" w:rsidR="000A3897" w:rsidRDefault="00000000">
                              <w:r>
                                <w:rPr>
                                  <w:rFonts w:ascii="Arial" w:eastAsia="Arial" w:hAnsi="Arial" w:cs="Arial"/>
                                  <w:b/>
                                  <w:color w:val="FFFFFF"/>
                                  <w:sz w:val="28"/>
                                </w:rPr>
                                <w:t>2</w:t>
                              </w:r>
                            </w:p>
                          </w:txbxContent>
                        </wps:txbx>
                        <wps:bodyPr horzOverflow="overflow" vert="horz" lIns="0" tIns="0" rIns="0" bIns="0" rtlCol="0">
                          <a:noAutofit/>
                        </wps:bodyPr>
                      </wps:wsp>
                      <wps:wsp>
                        <wps:cNvPr id="119" name="Shape 119"/>
                        <wps:cNvSpPr/>
                        <wps:spPr>
                          <a:xfrm>
                            <a:off x="635000" y="7251700"/>
                            <a:ext cx="6350000" cy="0"/>
                          </a:xfrm>
                          <a:custGeom>
                            <a:avLst/>
                            <a:gdLst/>
                            <a:ahLst/>
                            <a:cxnLst/>
                            <a:rect l="0" t="0" r="0" b="0"/>
                            <a:pathLst>
                              <a:path w="6350000">
                                <a:moveTo>
                                  <a:pt x="0" y="0"/>
                                </a:moveTo>
                                <a:lnTo>
                                  <a:pt x="6350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0" name="Rectangle 120"/>
                        <wps:cNvSpPr/>
                        <wps:spPr>
                          <a:xfrm>
                            <a:off x="1438275" y="10034270"/>
                            <a:ext cx="6140048" cy="156242"/>
                          </a:xfrm>
                          <a:prstGeom prst="rect">
                            <a:avLst/>
                          </a:prstGeom>
                          <a:ln>
                            <a:noFill/>
                          </a:ln>
                        </wps:spPr>
                        <wps:txbx>
                          <w:txbxContent>
                            <w:p w14:paraId="00A1D0C6" w14:textId="77777777" w:rsidR="000A3897" w:rsidRDefault="00000000">
                              <w:r>
                                <w:rPr>
                                  <w:rFonts w:ascii="Arial" w:eastAsia="Arial" w:hAnsi="Arial" w:cs="Arial"/>
                                  <w:color w:val="FFFFFF"/>
                                  <w:sz w:val="20"/>
                                </w:rPr>
                                <w:t>Coordenadoria de Biblioteca, Gestão da Informação e do Conhecimento – COBGI</w:t>
                              </w:r>
                            </w:p>
                          </w:txbxContent>
                        </wps:txbx>
                        <wps:bodyPr horzOverflow="overflow" vert="horz" lIns="0" tIns="0" rIns="0" bIns="0" rtlCol="0">
                          <a:noAutofit/>
                        </wps:bodyPr>
                      </wps:wsp>
                      <wps:wsp>
                        <wps:cNvPr id="121" name="Rectangle 121"/>
                        <wps:cNvSpPr/>
                        <wps:spPr>
                          <a:xfrm>
                            <a:off x="1657223" y="10182098"/>
                            <a:ext cx="5557647" cy="156242"/>
                          </a:xfrm>
                          <a:prstGeom prst="rect">
                            <a:avLst/>
                          </a:prstGeom>
                          <a:ln>
                            <a:noFill/>
                          </a:ln>
                        </wps:spPr>
                        <wps:txbx>
                          <w:txbxContent>
                            <w:p w14:paraId="69905671" w14:textId="77777777" w:rsidR="000A3897" w:rsidRDefault="00000000">
                              <w:r>
                                <w:rPr>
                                  <w:rFonts w:ascii="Arial" w:eastAsia="Arial" w:hAnsi="Arial" w:cs="Arial"/>
                                  <w:color w:val="FFFFFF"/>
                                  <w:sz w:val="20"/>
                                </w:rPr>
                                <w:t>Supervisão de Sistemas de Informação, Legislação e Jurisprudência - SSI</w:t>
                              </w:r>
                            </w:p>
                          </w:txbxContent>
                        </wps:txbx>
                        <wps:bodyPr horzOverflow="overflow" vert="horz" lIns="0" tIns="0" rIns="0" bIns="0" rtlCol="0">
                          <a:noAutofit/>
                        </wps:bodyPr>
                      </wps:wsp>
                      <wps:wsp>
                        <wps:cNvPr id="122" name="Rectangle 122"/>
                        <wps:cNvSpPr/>
                        <wps:spPr>
                          <a:xfrm>
                            <a:off x="1702054" y="10329926"/>
                            <a:ext cx="797762" cy="156242"/>
                          </a:xfrm>
                          <a:prstGeom prst="rect">
                            <a:avLst/>
                          </a:prstGeom>
                          <a:ln>
                            <a:noFill/>
                          </a:ln>
                        </wps:spPr>
                        <wps:txbx>
                          <w:txbxContent>
                            <w:p w14:paraId="0202AB22" w14:textId="77777777" w:rsidR="000A3897" w:rsidRDefault="00000000">
                              <w:r>
                                <w:rPr>
                                  <w:rFonts w:ascii="Arial" w:eastAsia="Arial" w:hAnsi="Arial" w:cs="Arial"/>
                                  <w:b/>
                                  <w:color w:val="FFFFFF"/>
                                  <w:sz w:val="20"/>
                                </w:rPr>
                                <w:t xml:space="preserve">Telefone: </w:t>
                              </w:r>
                            </w:p>
                          </w:txbxContent>
                        </wps:txbx>
                        <wps:bodyPr horzOverflow="overflow" vert="horz" lIns="0" tIns="0" rIns="0" bIns="0" rtlCol="0">
                          <a:noAutofit/>
                        </wps:bodyPr>
                      </wps:wsp>
                      <wps:wsp>
                        <wps:cNvPr id="1484" name="Rectangle 1484"/>
                        <wps:cNvSpPr/>
                        <wps:spPr>
                          <a:xfrm>
                            <a:off x="2301875" y="10329926"/>
                            <a:ext cx="2000063" cy="156242"/>
                          </a:xfrm>
                          <a:prstGeom prst="rect">
                            <a:avLst/>
                          </a:prstGeom>
                          <a:ln>
                            <a:noFill/>
                          </a:ln>
                        </wps:spPr>
                        <wps:txbx>
                          <w:txbxContent>
                            <w:p w14:paraId="38220169" w14:textId="77777777" w:rsidR="000A3897" w:rsidRDefault="00000000">
                              <w:r>
                                <w:rPr>
                                  <w:rFonts w:ascii="Arial" w:eastAsia="Arial" w:hAnsi="Arial" w:cs="Arial"/>
                                  <w:color w:val="FFFFFF"/>
                                  <w:sz w:val="20"/>
                                </w:rPr>
                                <w:t>(61) 3314-2226/2593/2259</w:t>
                              </w:r>
                            </w:p>
                          </w:txbxContent>
                        </wps:txbx>
                        <wps:bodyPr horzOverflow="overflow" vert="horz" lIns="0" tIns="0" rIns="0" bIns="0" rtlCol="0">
                          <a:noAutofit/>
                        </wps:bodyPr>
                      </wps:wsp>
                      <wps:wsp>
                        <wps:cNvPr id="1485" name="Rectangle 1485"/>
                        <wps:cNvSpPr/>
                        <wps:spPr>
                          <a:xfrm>
                            <a:off x="3805682" y="10329926"/>
                            <a:ext cx="46957" cy="156242"/>
                          </a:xfrm>
                          <a:prstGeom prst="rect">
                            <a:avLst/>
                          </a:prstGeom>
                          <a:ln>
                            <a:noFill/>
                          </a:ln>
                        </wps:spPr>
                        <wps:txbx>
                          <w:txbxContent>
                            <w:p w14:paraId="20954E8A" w14:textId="77777777" w:rsidR="000A3897" w:rsidRDefault="00000000">
                              <w:r>
                                <w:rPr>
                                  <w:rFonts w:ascii="Arial" w:eastAsia="Arial" w:hAnsi="Arial" w:cs="Arial"/>
                                  <w:color w:val="FFFFFF"/>
                                  <w:sz w:val="20"/>
                                </w:rPr>
                                <w:t xml:space="preserve"> </w:t>
                              </w:r>
                            </w:p>
                          </w:txbxContent>
                        </wps:txbx>
                        <wps:bodyPr horzOverflow="overflow" vert="horz" lIns="0" tIns="0" rIns="0" bIns="0" rtlCol="0">
                          <a:noAutofit/>
                        </wps:bodyPr>
                      </wps:wsp>
                      <wps:wsp>
                        <wps:cNvPr id="124" name="Rectangle 124"/>
                        <wps:cNvSpPr/>
                        <wps:spPr>
                          <a:xfrm>
                            <a:off x="3840988" y="10329926"/>
                            <a:ext cx="535107" cy="156242"/>
                          </a:xfrm>
                          <a:prstGeom prst="rect">
                            <a:avLst/>
                          </a:prstGeom>
                          <a:ln>
                            <a:noFill/>
                          </a:ln>
                        </wps:spPr>
                        <wps:txbx>
                          <w:txbxContent>
                            <w:p w14:paraId="6D3B44AD" w14:textId="77777777" w:rsidR="000A3897" w:rsidRDefault="00000000">
                              <w:r>
                                <w:rPr>
                                  <w:rFonts w:ascii="Arial" w:eastAsia="Arial" w:hAnsi="Arial" w:cs="Arial"/>
                                  <w:b/>
                                  <w:color w:val="FFFFFF"/>
                                  <w:sz w:val="20"/>
                                </w:rPr>
                                <w:t xml:space="preserve">email: </w:t>
                              </w:r>
                            </w:p>
                          </w:txbxContent>
                        </wps:txbx>
                        <wps:bodyPr horzOverflow="overflow" vert="horz" lIns="0" tIns="0" rIns="0" bIns="0" rtlCol="0">
                          <a:noAutofit/>
                        </wps:bodyPr>
                      </wps:wsp>
                      <wps:wsp>
                        <wps:cNvPr id="125" name="Rectangle 125"/>
                        <wps:cNvSpPr/>
                        <wps:spPr>
                          <a:xfrm>
                            <a:off x="4243324" y="10329926"/>
                            <a:ext cx="2058337" cy="156242"/>
                          </a:xfrm>
                          <a:prstGeom prst="rect">
                            <a:avLst/>
                          </a:prstGeom>
                          <a:ln>
                            <a:noFill/>
                          </a:ln>
                        </wps:spPr>
                        <wps:txbx>
                          <w:txbxContent>
                            <w:p w14:paraId="7EE9AF3B" w14:textId="77777777" w:rsidR="000A3897" w:rsidRDefault="00000000">
                              <w:r>
                                <w:rPr>
                                  <w:rFonts w:ascii="Arial" w:eastAsia="Arial" w:hAnsi="Arial" w:cs="Arial"/>
                                  <w:color w:val="FFFFFF"/>
                                  <w:sz w:val="20"/>
                                </w:rPr>
                                <w:t>jurisprudencia@tc.df.gov.br</w:t>
                              </w:r>
                            </w:p>
                          </w:txbxContent>
                        </wps:txbx>
                        <wps:bodyPr horzOverflow="overflow" vert="horz" lIns="0" tIns="0" rIns="0" bIns="0" rtlCol="0">
                          <a:noAutofit/>
                        </wps:bodyPr>
                      </wps:wsp>
                    </wpg:wgp>
                  </a:graphicData>
                </a:graphic>
              </wp:anchor>
            </w:drawing>
          </mc:Choice>
          <mc:Fallback xmlns:a="http://schemas.openxmlformats.org/drawingml/2006/main">
            <w:pict>
              <v:group id="Group 1569" style="width:595pt;height:842pt;position:absolute;z-index:-2147483588;mso-position-horizontal-relative:text;mso-position-horizontal:absolute;margin-left:-35pt;mso-position-vertical-relative:text;margin-top:-284.1pt;" coordsize="75565,106934">
                <v:shape id="Shape 1903" style="position:absolute;width:4064;height:99314;left:0;top:0;" coordsize="406400,9931400" path="m0,0l406400,0l406400,9931400l0,9931400l0,0">
                  <v:stroke weight="0pt" endcap="square" joinstyle="miter" miterlimit="10" on="false" color="#000000" opacity="0"/>
                  <v:fill on="true" color="#01447f"/>
                </v:shape>
                <v:shape id="Shape 1904" style="position:absolute;width:75565;height:7620;left:0;top:99314;" coordsize="7556500,762000" path="m0,0l7556500,0l7556500,762000l0,762000l0,0">
                  <v:stroke weight="0pt" endcap="square" joinstyle="miter" miterlimit="10" on="false" color="#000000" opacity="0"/>
                  <v:fill on="true" color="#01447f"/>
                </v:shape>
                <v:rect id="Rectangle 62" style="position:absolute;width:3756;height:6249;left:67421;top:101235;" filled="f" stroked="f">
                  <v:textbox inset="0,0,0,0">
                    <w:txbxContent>
                      <w:p>
                        <w:pPr>
                          <w:spacing w:before="0" w:after="160" w:line="259" w:lineRule="auto"/>
                        </w:pPr>
                        <w:r>
                          <w:rPr>
                            <w:rFonts w:cs="Arial" w:hAnsi="Arial" w:eastAsia="Arial" w:ascii="Arial"/>
                            <w:b w:val="1"/>
                            <w:color w:val="ffffff"/>
                            <w:sz w:val="80"/>
                          </w:rPr>
                          <w:t xml:space="preserve">2</w:t>
                        </w:r>
                      </w:p>
                    </w:txbxContent>
                  </v:textbox>
                </v:rect>
                <v:shape id="Shape 1905" style="position:absolute;width:3175;height:2540;left:635;top:27178;" coordsize="317500,254000" path="m0,0l317500,0l317500,254000l0,254000l0,0">
                  <v:stroke weight="0pt" endcap="square" joinstyle="miter" miterlimit="10" on="false" color="#000000" opacity="0"/>
                  <v:fill on="true" color="#01447f"/>
                </v:shape>
                <v:rect id="Rectangle 80" style="position:absolute;width:1314;height:2187;left:1728;top:27552;" filled="f" stroked="f">
                  <v:textbox inset="0,0,0,0">
                    <w:txbxContent>
                      <w:p>
                        <w:pPr>
                          <w:spacing w:before="0" w:after="160" w:line="259" w:lineRule="auto"/>
                        </w:pPr>
                        <w:r>
                          <w:rPr>
                            <w:rFonts w:cs="Arial" w:hAnsi="Arial" w:eastAsia="Arial" w:ascii="Arial"/>
                            <w:b w:val="1"/>
                            <w:color w:val="ffffff"/>
                            <w:sz w:val="28"/>
                          </w:rPr>
                          <w:t xml:space="preserve">2</w:t>
                        </w:r>
                      </w:p>
                    </w:txbxContent>
                  </v:textbox>
                </v:rect>
                <v:shape id="Shape 119" style="position:absolute;width:63500;height:0;left:6350;top:72517;" coordsize="6350000,0" path="m0,0l6350000,0">
                  <v:stroke weight="1pt" endcap="flat" joinstyle="miter" miterlimit="10" on="true" color="#000000"/>
                  <v:fill on="false" color="#000000" opacity="0"/>
                </v:shape>
                <v:rect id="Rectangle 120" style="position:absolute;width:61400;height:1562;left:14382;top:100342;" filled="f" stroked="f">
                  <v:textbox inset="0,0,0,0">
                    <w:txbxContent>
                      <w:p>
                        <w:pPr>
                          <w:spacing w:before="0" w:after="160" w:line="259" w:lineRule="auto"/>
                        </w:pPr>
                        <w:r>
                          <w:rPr>
                            <w:rFonts w:cs="Arial" w:hAnsi="Arial" w:eastAsia="Arial" w:ascii="Arial"/>
                            <w:color w:val="ffffff"/>
                            <w:sz w:val="20"/>
                          </w:rPr>
                          <w:t xml:space="preserve">Coordenadoria de Biblioteca, Gestão da Informação e do Conhecimento – COBGI</w:t>
                        </w:r>
                      </w:p>
                    </w:txbxContent>
                  </v:textbox>
                </v:rect>
                <v:rect id="Rectangle 121" style="position:absolute;width:55576;height:1562;left:16572;top:101820;" filled="f" stroked="f">
                  <v:textbox inset="0,0,0,0">
                    <w:txbxContent>
                      <w:p>
                        <w:pPr>
                          <w:spacing w:before="0" w:after="160" w:line="259" w:lineRule="auto"/>
                        </w:pPr>
                        <w:r>
                          <w:rPr>
                            <w:rFonts w:cs="Arial" w:hAnsi="Arial" w:eastAsia="Arial" w:ascii="Arial"/>
                            <w:color w:val="ffffff"/>
                            <w:sz w:val="20"/>
                          </w:rPr>
                          <w:t xml:space="preserve">Supervisão de Sistemas de Informação, Legislação e Jurisprudência - SSI</w:t>
                        </w:r>
                      </w:p>
                    </w:txbxContent>
                  </v:textbox>
                </v:rect>
                <v:rect id="Rectangle 122" style="position:absolute;width:7977;height:1562;left:17020;top:103299;" filled="f" stroked="f">
                  <v:textbox inset="0,0,0,0">
                    <w:txbxContent>
                      <w:p>
                        <w:pPr>
                          <w:spacing w:before="0" w:after="160" w:line="259" w:lineRule="auto"/>
                        </w:pPr>
                        <w:r>
                          <w:rPr>
                            <w:rFonts w:cs="Arial" w:hAnsi="Arial" w:eastAsia="Arial" w:ascii="Arial"/>
                            <w:b w:val="1"/>
                            <w:color w:val="ffffff"/>
                            <w:sz w:val="20"/>
                          </w:rPr>
                          <w:t xml:space="preserve">Telefone: </w:t>
                        </w:r>
                      </w:p>
                    </w:txbxContent>
                  </v:textbox>
                </v:rect>
                <v:rect id="Rectangle 1484" style="position:absolute;width:20000;height:1562;left:23018;top:103299;" filled="f" stroked="f">
                  <v:textbox inset="0,0,0,0">
                    <w:txbxContent>
                      <w:p>
                        <w:pPr>
                          <w:spacing w:before="0" w:after="160" w:line="259" w:lineRule="auto"/>
                        </w:pPr>
                        <w:r>
                          <w:rPr>
                            <w:rFonts w:cs="Arial" w:hAnsi="Arial" w:eastAsia="Arial" w:ascii="Arial"/>
                            <w:color w:val="ffffff"/>
                            <w:sz w:val="20"/>
                          </w:rPr>
                          <w:t xml:space="preserve">(61) 3314-2226/2593/2259</w:t>
                        </w:r>
                      </w:p>
                    </w:txbxContent>
                  </v:textbox>
                </v:rect>
                <v:rect id="Rectangle 1485" style="position:absolute;width:469;height:1562;left:38056;top:103299;" filled="f" stroked="f">
                  <v:textbox inset="0,0,0,0">
                    <w:txbxContent>
                      <w:p>
                        <w:pPr>
                          <w:spacing w:before="0" w:after="160" w:line="259" w:lineRule="auto"/>
                        </w:pPr>
                        <w:r>
                          <w:rPr>
                            <w:rFonts w:cs="Arial" w:hAnsi="Arial" w:eastAsia="Arial" w:ascii="Arial"/>
                            <w:color w:val="ffffff"/>
                            <w:sz w:val="20"/>
                          </w:rPr>
                          <w:t xml:space="preserve"> </w:t>
                        </w:r>
                      </w:p>
                    </w:txbxContent>
                  </v:textbox>
                </v:rect>
                <v:rect id="Rectangle 124" style="position:absolute;width:5351;height:1562;left:38409;top:103299;" filled="f" stroked="f">
                  <v:textbox inset="0,0,0,0">
                    <w:txbxContent>
                      <w:p>
                        <w:pPr>
                          <w:spacing w:before="0" w:after="160" w:line="259" w:lineRule="auto"/>
                        </w:pPr>
                        <w:r>
                          <w:rPr>
                            <w:rFonts w:cs="Arial" w:hAnsi="Arial" w:eastAsia="Arial" w:ascii="Arial"/>
                            <w:b w:val="1"/>
                            <w:color w:val="ffffff"/>
                            <w:sz w:val="20"/>
                          </w:rPr>
                          <w:t xml:space="preserve">email: </w:t>
                        </w:r>
                      </w:p>
                    </w:txbxContent>
                  </v:textbox>
                </v:rect>
                <v:rect id="Rectangle 125" style="position:absolute;width:20583;height:1562;left:42433;top:103299;" filled="f" stroked="f">
                  <v:textbox inset="0,0,0,0">
                    <w:txbxContent>
                      <w:p>
                        <w:pPr>
                          <w:spacing w:before="0" w:after="160" w:line="259" w:lineRule="auto"/>
                        </w:pPr>
                        <w:r>
                          <w:rPr>
                            <w:rFonts w:cs="Arial" w:hAnsi="Arial" w:eastAsia="Arial" w:ascii="Arial"/>
                            <w:color w:val="ffffff"/>
                            <w:sz w:val="20"/>
                          </w:rPr>
                          <w:t xml:space="preserve">jurisprudencia@tc.df.gov.br</w:t>
                        </w:r>
                      </w:p>
                    </w:txbxContent>
                  </v:textbox>
                </v:rect>
              </v:group>
            </w:pict>
          </mc:Fallback>
        </mc:AlternateContent>
      </w:r>
      <w:r>
        <w:rPr>
          <w:rFonts w:ascii="Arial" w:eastAsia="Arial" w:hAnsi="Arial" w:cs="Arial"/>
          <w:sz w:val="20"/>
        </w:rPr>
        <w:t>Consulta formulada pelo Comandante-Geral da PMDF sobre a possibilidade de a Corporação flexibilizar a cláusula de barreira constante do subitem 9.4 do Edital nº 04/2023 DGP/PMDF, de 23.01.2023, conforme abordado pela Informação Técnica nº 116/2023 - PMDF/DGP/ATJ, visando a alteração do aludido edital com a finalidade de reduzir o percentual mínimo (de 60% para 50%) para aprovação na prova objetiva no concurso para seleção de candidatos ao Curso de Formação de Praças da PMDF, com fundamento em decisões desta Corte que flexibilizaram cláusulas de barreira constante de editais de outros concursos distritais. O Tribunal decidiu não conhecer da consulta formulada pelo Comandante-Geral da Polícia Militar do Distrito Federal - PMDF, mediante Ofício nº 282/2023 - PMDF/DGP/ATJ (Peça nº 5), tendo em conta estar relacionada a caso concreto, nos termos do art. 265 do RI/TCDF, sem prejuízo de esclarecer que a alteração pretendida pode contrariar entendimentos do STF, a exemplo dos REs nºs 635739 e 1330817, do STJ, RMS 13578/MT, além de princípios que norteiam a Administração Pública.</w:t>
      </w:r>
    </w:p>
    <w:p w14:paraId="03E4EC28" w14:textId="77777777" w:rsidR="000A3897" w:rsidRDefault="00000000">
      <w:pPr>
        <w:tabs>
          <w:tab w:val="center" w:pos="5484"/>
        </w:tabs>
        <w:spacing w:after="85" w:line="251" w:lineRule="auto"/>
      </w:pPr>
      <w:r>
        <w:rPr>
          <w:rFonts w:ascii="Arial" w:eastAsia="Arial" w:hAnsi="Arial" w:cs="Arial"/>
          <w:b/>
          <w:sz w:val="20"/>
        </w:rPr>
        <w:t>Relator:</w:t>
      </w:r>
      <w:r>
        <w:rPr>
          <w:rFonts w:ascii="Arial" w:eastAsia="Arial" w:hAnsi="Arial" w:cs="Arial"/>
          <w:b/>
          <w:sz w:val="20"/>
        </w:rPr>
        <w:tab/>
        <w:t>Sessão:</w:t>
      </w:r>
    </w:p>
    <w:p w14:paraId="00446086" w14:textId="77777777" w:rsidR="000A3897" w:rsidRDefault="00000000">
      <w:pPr>
        <w:spacing w:after="200" w:line="425" w:lineRule="auto"/>
        <w:ind w:left="15" w:right="1634" w:hanging="10"/>
        <w:jc w:val="both"/>
      </w:pPr>
      <w:r>
        <w:rPr>
          <w:rFonts w:ascii="Arial" w:eastAsia="Arial" w:hAnsi="Arial" w:cs="Arial"/>
          <w:b/>
          <w:sz w:val="20"/>
        </w:rPr>
        <w:t>Paulo Tadeu Vale Da Silva</w:t>
      </w:r>
      <w:r>
        <w:rPr>
          <w:rFonts w:ascii="Arial" w:eastAsia="Arial" w:hAnsi="Arial" w:cs="Arial"/>
          <w:b/>
          <w:sz w:val="20"/>
        </w:rPr>
        <w:tab/>
        <w:t>ORDINÁRIA nº 5361, de 25/10/2023. Decisão por unanimidade</w:t>
      </w:r>
      <w:r>
        <w:rPr>
          <w:rFonts w:ascii="Arial" w:eastAsia="Arial" w:hAnsi="Arial" w:cs="Arial"/>
          <w:b/>
          <w:sz w:val="20"/>
        </w:rPr>
        <w:tab/>
      </w:r>
      <w:hyperlink r:id="rId15">
        <w:r>
          <w:rPr>
            <w:rFonts w:ascii="Arial" w:eastAsia="Arial" w:hAnsi="Arial" w:cs="Arial"/>
            <w:color w:val="2205FC"/>
            <w:sz w:val="20"/>
            <w:u w:val="single" w:color="2205FC"/>
          </w:rPr>
          <w:t>Proc. nº 8620/2023 - Dec. nº 4632/2023</w:t>
        </w:r>
      </w:hyperlink>
    </w:p>
    <w:p w14:paraId="5A37ABAD" w14:textId="77777777" w:rsidR="000A3897" w:rsidRDefault="00000000">
      <w:pPr>
        <w:spacing w:after="80" w:line="417" w:lineRule="auto"/>
        <w:ind w:left="35" w:right="7955" w:hanging="10"/>
      </w:pPr>
      <w:r>
        <w:rPr>
          <w:rFonts w:ascii="Arial" w:eastAsia="Arial" w:hAnsi="Arial" w:cs="Arial"/>
          <w:b/>
          <w:sz w:val="20"/>
        </w:rPr>
        <w:t xml:space="preserve">Precedentes externos: </w:t>
      </w:r>
      <w:hyperlink r:id="rId16">
        <w:r>
          <w:rPr>
            <w:rFonts w:ascii="Arial" w:eastAsia="Arial" w:hAnsi="Arial" w:cs="Arial"/>
            <w:color w:val="2205FC"/>
            <w:sz w:val="20"/>
            <w:u w:val="single" w:color="2205FC"/>
          </w:rPr>
          <w:t>Decisão STF nº RE 635739</w:t>
        </w:r>
      </w:hyperlink>
    </w:p>
    <w:p w14:paraId="24C1F221" w14:textId="77777777" w:rsidR="000A3897" w:rsidRDefault="00000000">
      <w:pPr>
        <w:spacing w:after="158" w:line="251" w:lineRule="auto"/>
        <w:ind w:left="15" w:hanging="10"/>
        <w:jc w:val="both"/>
      </w:pPr>
      <w:r>
        <w:rPr>
          <w:rFonts w:ascii="Arial" w:eastAsia="Arial" w:hAnsi="Arial" w:cs="Arial"/>
          <w:b/>
          <w:sz w:val="20"/>
        </w:rPr>
        <w:t>Legislação relacionada:</w:t>
      </w:r>
    </w:p>
    <w:p w14:paraId="3F729B87" w14:textId="77777777" w:rsidR="000A3897" w:rsidRDefault="00000000">
      <w:pPr>
        <w:spacing w:after="724" w:line="265" w:lineRule="auto"/>
        <w:ind w:left="35" w:hanging="10"/>
      </w:pPr>
      <w:hyperlink r:id="rId17">
        <w:r>
          <w:rPr>
            <w:rFonts w:ascii="Arial" w:eastAsia="Arial" w:hAnsi="Arial" w:cs="Arial"/>
            <w:color w:val="2205FC"/>
            <w:sz w:val="20"/>
            <w:u w:val="single" w:color="2205FC"/>
          </w:rPr>
          <w:t>Resolução nº 296/2016, Art. 265.</w:t>
        </w:r>
      </w:hyperlink>
    </w:p>
    <w:p w14:paraId="2AC56515" w14:textId="77777777" w:rsidR="000A3897" w:rsidRDefault="00000000">
      <w:pPr>
        <w:pStyle w:val="Ttulo1"/>
      </w:pPr>
      <w:r>
        <w:t>OUTRAS DECISÕES REFERENTES À PROCESSUAL</w:t>
      </w:r>
    </w:p>
    <w:p w14:paraId="71C3A4B4" w14:textId="77777777" w:rsidR="000A3897" w:rsidRDefault="00000000">
      <w:pPr>
        <w:spacing w:after="167" w:line="265" w:lineRule="auto"/>
        <w:ind w:left="35" w:hanging="10"/>
      </w:pPr>
      <w:hyperlink r:id="rId18">
        <w:r>
          <w:rPr>
            <w:rFonts w:ascii="Arial" w:eastAsia="Arial" w:hAnsi="Arial" w:cs="Arial"/>
            <w:color w:val="2205FC"/>
            <w:sz w:val="20"/>
            <w:u w:val="single" w:color="2205FC"/>
          </w:rPr>
          <w:t>Decisão nº 3584/2023</w:t>
        </w:r>
      </w:hyperlink>
    </w:p>
    <w:p w14:paraId="79927191" w14:textId="77777777" w:rsidR="000A3897" w:rsidRDefault="00000000">
      <w:pPr>
        <w:spacing w:after="167" w:line="265" w:lineRule="auto"/>
        <w:ind w:left="35" w:hanging="10"/>
      </w:pPr>
      <w:hyperlink r:id="rId19">
        <w:r>
          <w:rPr>
            <w:rFonts w:ascii="Arial" w:eastAsia="Arial" w:hAnsi="Arial" w:cs="Arial"/>
            <w:color w:val="2205FC"/>
            <w:sz w:val="20"/>
            <w:u w:val="single" w:color="2205FC"/>
          </w:rPr>
          <w:t>Decisão nº 4352/2023</w:t>
        </w:r>
      </w:hyperlink>
    </w:p>
    <w:p w14:paraId="021BC256" w14:textId="77777777" w:rsidR="000A3897" w:rsidRDefault="00000000">
      <w:pPr>
        <w:spacing w:after="167" w:line="265" w:lineRule="auto"/>
        <w:ind w:left="35" w:hanging="10"/>
      </w:pPr>
      <w:hyperlink r:id="rId20">
        <w:r>
          <w:rPr>
            <w:rFonts w:ascii="Arial" w:eastAsia="Arial" w:hAnsi="Arial" w:cs="Arial"/>
            <w:color w:val="2205FC"/>
            <w:sz w:val="20"/>
            <w:u w:val="single" w:color="2205FC"/>
          </w:rPr>
          <w:t>Decisão nº 4347/2023</w:t>
        </w:r>
      </w:hyperlink>
    </w:p>
    <w:p w14:paraId="7DFB1E0D" w14:textId="77777777" w:rsidR="000A3897" w:rsidRDefault="00000000">
      <w:pPr>
        <w:spacing w:after="167" w:line="265" w:lineRule="auto"/>
        <w:ind w:left="35" w:hanging="10"/>
      </w:pPr>
      <w:hyperlink r:id="rId21">
        <w:r>
          <w:rPr>
            <w:rFonts w:ascii="Arial" w:eastAsia="Arial" w:hAnsi="Arial" w:cs="Arial"/>
            <w:color w:val="2205FC"/>
            <w:sz w:val="20"/>
            <w:u w:val="single" w:color="2205FC"/>
          </w:rPr>
          <w:t>Decisão nº 4599/2023</w:t>
        </w:r>
      </w:hyperlink>
    </w:p>
    <w:p w14:paraId="25BCDD80" w14:textId="77777777" w:rsidR="000A3897" w:rsidRDefault="00000000">
      <w:pPr>
        <w:spacing w:after="167" w:line="265" w:lineRule="auto"/>
        <w:ind w:left="35" w:hanging="10"/>
      </w:pPr>
      <w:hyperlink r:id="rId22">
        <w:r>
          <w:rPr>
            <w:rFonts w:ascii="Arial" w:eastAsia="Arial" w:hAnsi="Arial" w:cs="Arial"/>
            <w:color w:val="2205FC"/>
            <w:sz w:val="20"/>
            <w:u w:val="single" w:color="2205FC"/>
          </w:rPr>
          <w:t>Decisão nº 4622/2023</w:t>
        </w:r>
      </w:hyperlink>
    </w:p>
    <w:sectPr w:rsidR="000A3897">
      <w:pgSz w:w="11900" w:h="16840"/>
      <w:pgMar w:top="442" w:right="358" w:bottom="2453"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897"/>
    <w:rsid w:val="000A3897"/>
    <w:rsid w:val="002564CC"/>
    <w:rsid w:val="00CD29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76D5"/>
  <w15:docId w15:val="{B073AD58-D486-4A00-927E-696BCDC5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har"/>
    <w:uiPriority w:val="9"/>
    <w:qFormat/>
    <w:pPr>
      <w:keepNext/>
      <w:keepLines/>
      <w:spacing w:after="305" w:line="259" w:lineRule="auto"/>
      <w:ind w:left="2653"/>
      <w:outlineLvl w:val="0"/>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0.jpg"/><Relationship Id="rId13" Type="http://schemas.openxmlformats.org/officeDocument/2006/relationships/hyperlink" Target="https://redir.stf.jus.br/paginadorpub/paginador.jsp?docTP=TP&amp;docID=753979035" TargetMode="External"/><Relationship Id="rId18" Type="http://schemas.openxmlformats.org/officeDocument/2006/relationships/hyperlink" Target="https://etcdf.tc.df.gov.br/?a=consultaETCDF&amp;f=formPrincipal&amp;edoc=CF51E082" TargetMode="External"/><Relationship Id="rId3" Type="http://schemas.openxmlformats.org/officeDocument/2006/relationships/webSettings" Target="webSettings.xml"/><Relationship Id="rId21" Type="http://schemas.openxmlformats.org/officeDocument/2006/relationships/hyperlink" Target="https://etcdf.tc.df.gov.br/?a=consultaETCDF&amp;f=formPrincipal&amp;edoc=6FF13C38" TargetMode="External"/><Relationship Id="rId7" Type="http://schemas.openxmlformats.org/officeDocument/2006/relationships/image" Target="media/image2.png"/><Relationship Id="rId12" Type="http://schemas.openxmlformats.org/officeDocument/2006/relationships/hyperlink" Target="https://etcdf.tc.df.gov.br/?a=consultaETCDF&amp;f=formPrincipal&amp;edoc=A997BF18" TargetMode="External"/><Relationship Id="rId17" Type="http://schemas.openxmlformats.org/officeDocument/2006/relationships/hyperlink" Target="http://www.sinj.df.gov.br/sinj/DetalhesDeNorma.aspx?id_norma=103f06688360405fbd9c5562e47f95a7" TargetMode="External"/><Relationship Id="rId2" Type="http://schemas.openxmlformats.org/officeDocument/2006/relationships/settings" Target="settings.xml"/><Relationship Id="hyperlink51" Type="http://schemas.openxmlformats.org/officeDocument/2006/relationships/hyperlink" Target="https://jurisprudencia.tc.df.gov.br/solicitacao-de-boletim/" TargetMode="External"/><Relationship Id="rId16" Type="http://schemas.openxmlformats.org/officeDocument/2006/relationships/hyperlink" Target="https://portal.stf.jus.br/processos/detalhe.asp?incidente=4035287" TargetMode="External"/><Relationship Id="rId20" Type="http://schemas.openxmlformats.org/officeDocument/2006/relationships/hyperlink" Target="https://etcdf.tc.df.gov.br/?a=consultaETCDF&amp;f=formPrincipal&amp;edoc=E72E189E"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etcdf.tc.df.gov.br/?a=consultaETCDF&amp;f=formPrincipal&amp;edoc=0FE07449" TargetMode="External"/><Relationship Id="rId24" Type="http://schemas.openxmlformats.org/officeDocument/2006/relationships/theme" Target="theme/theme1.xml"/><Relationship Id="rId5" Type="http://schemas.openxmlformats.org/officeDocument/2006/relationships/hyperlink" Target="https://jurisprudencia.tc.df.gov.br/solicitacao-de-boletim/" TargetMode="External"/><Relationship Id="rId15" Type="http://schemas.openxmlformats.org/officeDocument/2006/relationships/hyperlink" Target="https://etcdf.tc.df.gov.br/?a=consultaETCDF&amp;f=formPrincipal&amp;edoc=C8B7E82E" TargetMode="External"/><Relationship Id="rId23" Type="http://schemas.openxmlformats.org/officeDocument/2006/relationships/fontTable" Target="fontTable.xml"/><Relationship Id="rId10" Type="http://schemas.openxmlformats.org/officeDocument/2006/relationships/hyperlink" Target="https://etcdf.tc.df.gov.br/?a=consultaETCDF&amp;f=formPrincipal&amp;edoc=1C217157" TargetMode="External"/><Relationship Id="rId19" Type="http://schemas.openxmlformats.org/officeDocument/2006/relationships/hyperlink" Target="https://etcdf.tc.df.gov.br/?a=consultaETCDF&amp;f=formPrincipal&amp;edoc=38A6C5A9" TargetMode="External"/><Relationship Id="rId4" Type="http://schemas.openxmlformats.org/officeDocument/2006/relationships/hyperlink" Target="https://jurisprudencia.tc.df.gov.br/solicitacao-de-boletim/" TargetMode="External"/><Relationship Id="rId9" Type="http://schemas.openxmlformats.org/officeDocument/2006/relationships/image" Target="media/image1.png"/><Relationship Id="rId14" Type="http://schemas.openxmlformats.org/officeDocument/2006/relationships/hyperlink" Target="http://www.planalto.gov.br/ccivil_03/leis/2002/l10486.htm" TargetMode="External"/><Relationship Id="rId22" Type="http://schemas.openxmlformats.org/officeDocument/2006/relationships/hyperlink" Target="https://etcdf.tc.df.gov.br/?a=consultaETCDF&amp;f=formPrincipal&amp;edoc=627A5764"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519</Words>
  <Characters>2805</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 Teles De Araújo</dc:creator>
  <cp:keywords/>
  <cp:lastModifiedBy>Kamili Teles De Araújo</cp:lastModifiedBy>
  <cp:revision>2</cp:revision>
  <dcterms:created xsi:type="dcterms:W3CDTF">2026-08-26T20:05:00Z</dcterms:created>
  <dcterms:modified xsi:type="dcterms:W3CDTF">2026-08-26T20:05:00Z</dcterms:modified>
</cp:coreProperties>
</file>