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AE4A0" w14:textId="77777777" w:rsidR="00A3310A" w:rsidRDefault="00000000">
      <w:pPr>
        <w:shd w:val="clear" w:color="auto" w:fill="01447F"/>
        <w:spacing w:line="243" w:lineRule="auto"/>
        <w:ind w:left="180" w:right="3314" w:firstLine="0"/>
        <w:jc w:val="left"/>
      </w:pPr>
      <w:r>
        <w:rPr>
          <w:b/>
          <w:color w:val="FFFFFF"/>
          <w:sz w:val="42"/>
        </w:rPr>
        <w:t>Boletim de Jurisprudência Licitações e Contratos, nº 10</w:t>
      </w:r>
    </w:p>
    <w:p w14:paraId="345196E2" w14:textId="77777777" w:rsidR="00A3310A" w:rsidRDefault="00000000">
      <w:pPr>
        <w:spacing w:after="222" w:line="259" w:lineRule="auto"/>
        <w:ind w:left="180" w:firstLine="0"/>
        <w:jc w:val="left"/>
      </w:pPr>
      <w:r>
        <w:rPr>
          <w:b/>
          <w:sz w:val="24"/>
        </w:rPr>
        <w:t>Sessões de julho a dezembro de 2023.</w:t>
      </w:r>
    </w:p>
    <w:p w14:paraId="39161DE4" w14:textId="77777777" w:rsidR="00A3310A" w:rsidRDefault="00000000">
      <w:pPr>
        <w:spacing w:after="0" w:line="332" w:lineRule="auto"/>
        <w:ind w:left="115" w:right="8"/>
      </w:pPr>
      <w:r>
        <w:rPr>
          <w:sz w:val="24"/>
        </w:rPr>
        <w:t xml:space="preserve">     O Boletim de Jurisprudência do TCDF é uma publicação periódica elaborada pela Supervisão de Sistemas de Informação, Legislação e Jurisprudência, da Coordenadoria de Biblioteca, Gestão da Informação e do Conhecimento, com a finalidade de apresentar resumos das teses constantes em decisões desta Corte que se enquadrem em critérios de relevância, reiteração, ineditismo ou controvérsia.</w:t>
      </w:r>
    </w:p>
    <w:p w14:paraId="208579BD" w14:textId="77777777" w:rsidR="00A3310A" w:rsidRDefault="00000000">
      <w:pPr>
        <w:spacing w:after="0" w:line="332" w:lineRule="auto"/>
        <w:ind w:left="115" w:right="8"/>
      </w:pPr>
      <w:r>
        <w:rPr>
          <w:sz w:val="24"/>
        </w:rPr>
        <w:t xml:space="preserve">     Ressalta-se, todavia, que as informações aqui apresentadas não constituem resumo oficial das decisões proferidas pelo Tribunal nem representam, necessariamente, o posicionamento prevalecente na Corte sobre a matéria.</w:t>
      </w:r>
    </w:p>
    <w:p w14:paraId="3B9C0D32" w14:textId="77777777" w:rsidR="00A3310A" w:rsidRDefault="00000000">
      <w:pPr>
        <w:spacing w:after="0" w:line="332" w:lineRule="auto"/>
        <w:ind w:left="115" w:right="8"/>
      </w:pPr>
      <w:r>
        <w:rPr>
          <w:sz w:val="24"/>
        </w:rPr>
        <w:t xml:space="preserve">     Este boletim informativo não substitui a publicação oficial das decisões. Para um exame mais aprofundado da decisão, sugere-se o acesso aos documentos do processo por meio dos links presentes em cada decisão.</w:t>
      </w:r>
    </w:p>
    <w:tbl>
      <w:tblPr>
        <w:tblStyle w:val="TableGrid"/>
        <w:tblpPr w:vertAnchor="page" w:horzAnchor="page" w:tblpX="100" w:tblpY="10860"/>
        <w:tblOverlap w:val="never"/>
        <w:tblW w:w="500" w:type="dxa"/>
        <w:tblInd w:w="0" w:type="dxa"/>
        <w:tblCellMar>
          <w:top w:w="59" w:type="dxa"/>
          <w:left w:w="1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0"/>
      </w:tblGrid>
      <w:tr w:rsidR="00A3310A" w14:paraId="2A1C4201" w14:textId="77777777">
        <w:trPr>
          <w:trHeight w:val="4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01447F"/>
          </w:tcPr>
          <w:p w14:paraId="6CB30037" w14:textId="77777777" w:rsidR="00A3310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FFFFFF"/>
                <w:sz w:val="28"/>
              </w:rPr>
              <w:t>1</w:t>
            </w:r>
          </w:p>
        </w:tc>
      </w:tr>
    </w:tbl>
    <w:p w14:paraId="191CFC4E" w14:textId="77777777" w:rsidR="00A3310A" w:rsidRDefault="00000000">
      <w:pPr>
        <w:spacing w:after="681" w:line="332" w:lineRule="auto"/>
        <w:ind w:left="115" w:right="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7695015" wp14:editId="1E323BC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966723"/>
                <wp:effectExtent l="0" t="0" r="0" b="0"/>
                <wp:wrapTopAndBottom/>
                <wp:docPr id="2496" name="Group 2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966723"/>
                          <a:chOff x="0" y="0"/>
                          <a:chExt cx="7556500" cy="966723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903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0" name="Picture 31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0960" y="60960"/>
                            <a:ext cx="7482840" cy="9052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496" style="width:595pt;height:76.1199pt;position:absolute;mso-position-horizontal-relative:page;mso-position-horizontal:absolute;margin-left:0pt;mso-position-vertical-relative:page;margin-top:-7.62939e-06pt;" coordsize="75565,9667">
                <v:shape id="Picture 24" style="position:absolute;width:75565;height:9032;left:0;top:0;" filled="f">
                  <v:imagedata r:id="rId8"/>
                </v:shape>
                <v:shape id="Picture 3130" style="position:absolute;width:74828;height:9052;left:609;top:609;" filled="f">
                  <v:imagedata r:id="rId9"/>
                </v:shape>
                <w10:wrap type="topAndBottom"/>
              </v:group>
            </w:pict>
          </mc:Fallback>
        </mc:AlternateContent>
      </w:r>
      <w:r>
        <w:rPr>
          <w:sz w:val="24"/>
        </w:rPr>
        <w:t xml:space="preserve">     Deseja receber os Boletins de Jurisprudência do Tribunal? </w:t>
      </w:r>
      <w:hyperlink r:id="rId10">
        <w:r>
          <w:rPr>
            <w:color w:val="0000FF"/>
            <w:sz w:val="24"/>
            <w:u w:val="single" w:color="0000FF"/>
          </w:rPr>
          <w:t>Clique aqui.</w:t>
        </w:r>
      </w:hyperlink>
    </w:p>
    <w:p w14:paraId="0807EAF2" w14:textId="77777777" w:rsidR="00A3310A" w:rsidRDefault="00000000">
      <w:pPr>
        <w:spacing w:after="642" w:line="259" w:lineRule="auto"/>
        <w:ind w:left="228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82B13FD" wp14:editId="77AA7F36">
                <wp:extent cx="3683000" cy="12700"/>
                <wp:effectExtent l="0" t="0" r="0" b="0"/>
                <wp:docPr id="2497" name="Group 2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3000" cy="12700"/>
                          <a:chOff x="0" y="0"/>
                          <a:chExt cx="3683000" cy="12700"/>
                        </a:xfrm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368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000">
                                <a:moveTo>
                                  <a:pt x="0" y="0"/>
                                </a:moveTo>
                                <a:lnTo>
                                  <a:pt x="3683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97" style="width:290pt;height:1pt;mso-position-horizontal-relative:char;mso-position-vertical-relative:line" coordsize="36830,127">
                <v:shape id="Shape 31" style="position:absolute;width:36830;height:0;left:0;top:0;" coordsize="3683000,0" path="m0,0l368300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2CCF8A4" w14:textId="77777777" w:rsidR="00A3310A" w:rsidRDefault="00000000">
      <w:pPr>
        <w:spacing w:after="178"/>
        <w:ind w:left="-5"/>
      </w:pPr>
      <w:r>
        <w:rPr>
          <w:b/>
        </w:rPr>
        <w:t>LICITAÇÕES E CONTRATOS.  COMPANHIA URBANIZADORA DA NOVA CAPITAL DO BRASIL - NOVACAP. CONSULTA. EMPRESA ESTATAL. CONTRATO ADMINISTRATIVO. EQUILÍBRIO ECONÔMICO-FINANCEIRO. REAJUSTE DE PREÇOS. MARCO INICIAL.</w:t>
      </w:r>
    </w:p>
    <w:p w14:paraId="7C6B844A" w14:textId="77777777" w:rsidR="00A3310A" w:rsidRDefault="00000000">
      <w:pPr>
        <w:ind w:left="-5" w:right="6"/>
      </w:pPr>
      <w:r>
        <w:t>Consulta formulada pela Companhia Urbanizadora da Nova Capital do Brasil - Novacap versando acerca do marco inicial para efeito de reajustamento nos contratos administrativos celebrados com terceiros em que o Tribunal esclareceu à Consulente que a) o aludido reajuste de preços somente poderá ser concedido após decorrido o prazo mínimo de um ano, contado a partir da data-base (única) definida como seu marco inicial; b) a escolha do marco inicial para a contagem do prazo de um ano para fins de concessão do reajuste de preços encontra-se alocada na esfera de discricionariedade do gestor, cujas alternativas são limitadas pelo art. 3º, § 1º, da Lei n.º 10.192/2001, a saber: 1. a data limite para apresentação de propostas para a licitação; ou 2. a data do orçamento estimativo do certame; c) o edital e a minuta do contrato devem conter todas as premissas a serem consideradas pelo Poder Público para o ato de concessão do reajustamento, devendo-se especificar, no mínimo, os critérios, a data-base (marco inicial), a periodicidade do reajustamento de preços e o(s) índice(s) a ser(em) aplicado(s), em cumprimento aos princípios da publicidade, da igualdade, da transparência e da segurança jurídica; d) as disposições do item anterior são obrigatórias, independentemente da duração do contrato, haja vista a possibilidade de o transcurso do prazo mínimo de um ano para fins de concessão do reajuste de preços ocorrer antes do término da vigência contratual; e) o marco inicial (data-base) para contagem do prazo de um ano para fins de concessão do reajuste de preços (seja a data limite para apresentação de propostas, seja a data do orçamento estimativo do certame) deverá ser expressamente definido no edital e na minuta do contrato,</w:t>
      </w:r>
    </w:p>
    <w:p w14:paraId="43BF0D7C" w14:textId="77777777" w:rsidR="00A3310A" w:rsidRDefault="00000000">
      <w:pPr>
        <w:ind w:left="-5" w:right="6"/>
      </w:pPr>
      <w:r>
        <w:t xml:space="preserve">devendo conter dia/mês/ano; f) no caso de ser adotada a data do orçamento estimativo como marco inicial, a data-base para a contagem do prazo de um ano para fins de concessão de reajuste é a data (única) de conclusão da peça orçamentária, que também deve ser expressamente indicada em seu corpo; g) ainda que o orçamento estimativo da licitação seja baseado em diversas fontes de pesquisa (tais como, tabelas </w:t>
      </w:r>
      <w:proofErr w:type="spellStart"/>
      <w:r>
        <w:t>Sicro</w:t>
      </w:r>
      <w:proofErr w:type="spellEnd"/>
      <w:r>
        <w:t xml:space="preserve"> e </w:t>
      </w:r>
      <w:proofErr w:type="spellStart"/>
      <w:r>
        <w:t>Sinapi</w:t>
      </w:r>
      <w:proofErr w:type="spellEnd"/>
      <w:r>
        <w:t xml:space="preserve">, contratações similares realizada pela Administração Pública, pesquisa direta com fornecedores, entre outros), com datas de referência variadas, o orçamento deve conter um marco único, qual seja, na data do atesto do orçamentista de que os valores contidos na peça </w:t>
      </w:r>
      <w:r>
        <w:lastRenderedPageBreak/>
        <w:t>representam os custos de mercado para a data expressamente indicada, considerando ter havido uma análise prévia, com ajustes e atualizações dos preços em diferentes bases para trazer seus valores a uma base única.</w:t>
      </w:r>
    </w:p>
    <w:tbl>
      <w:tblPr>
        <w:tblStyle w:val="TableGrid"/>
        <w:tblW w:w="861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3537"/>
      </w:tblGrid>
      <w:tr w:rsidR="00A3310A" w14:paraId="4B123DE7" w14:textId="77777777">
        <w:trPr>
          <w:trHeight w:val="865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</w:tcPr>
          <w:p w14:paraId="1375189B" w14:textId="77777777" w:rsidR="00A3310A" w:rsidRDefault="00000000">
            <w:pPr>
              <w:spacing w:after="52" w:line="259" w:lineRule="auto"/>
              <w:ind w:left="0" w:firstLine="0"/>
              <w:jc w:val="left"/>
            </w:pPr>
            <w:r>
              <w:rPr>
                <w:b/>
              </w:rPr>
              <w:t>Relator:</w:t>
            </w:r>
          </w:p>
          <w:p w14:paraId="0E3D9B86" w14:textId="77777777" w:rsidR="00A3310A" w:rsidRDefault="00000000">
            <w:pPr>
              <w:spacing w:after="132" w:line="259" w:lineRule="auto"/>
              <w:ind w:left="0" w:firstLine="0"/>
              <w:jc w:val="left"/>
            </w:pPr>
            <w:r>
              <w:rPr>
                <w:b/>
              </w:rPr>
              <w:t>Inácio Magalhães Filho</w:t>
            </w:r>
          </w:p>
          <w:p w14:paraId="6C841368" w14:textId="77777777" w:rsidR="00A3310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Decisão por unanimidade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</w:tcPr>
          <w:p w14:paraId="21E971AC" w14:textId="77777777" w:rsidR="00A3310A" w:rsidRDefault="00000000">
            <w:pPr>
              <w:spacing w:after="52" w:line="259" w:lineRule="auto"/>
              <w:ind w:left="0" w:firstLine="0"/>
              <w:jc w:val="left"/>
            </w:pPr>
            <w:r>
              <w:rPr>
                <w:b/>
              </w:rPr>
              <w:t>Sessão:</w:t>
            </w:r>
          </w:p>
          <w:p w14:paraId="13BA94C0" w14:textId="77777777" w:rsidR="00A3310A" w:rsidRDefault="00000000">
            <w:pPr>
              <w:spacing w:after="132" w:line="259" w:lineRule="auto"/>
              <w:ind w:left="0" w:firstLine="0"/>
              <w:jc w:val="left"/>
            </w:pPr>
            <w:r>
              <w:rPr>
                <w:b/>
              </w:rPr>
              <w:t>ORDINÁRIA nº 5349, de 19/07/2023.</w:t>
            </w:r>
          </w:p>
          <w:p w14:paraId="77E9453D" w14:textId="77777777" w:rsidR="00A3310A" w:rsidRDefault="00000000">
            <w:pPr>
              <w:spacing w:after="0" w:line="259" w:lineRule="auto"/>
              <w:ind w:left="0" w:firstLine="0"/>
            </w:pPr>
            <w:hyperlink r:id="rId11">
              <w:r>
                <w:rPr>
                  <w:color w:val="2205FC"/>
                  <w:u w:val="single" w:color="2205FC"/>
                </w:rPr>
                <w:t>Proc. nº 8285/2022 - Dec. nº 3188/2023</w:t>
              </w:r>
            </w:hyperlink>
          </w:p>
        </w:tc>
      </w:tr>
    </w:tbl>
    <w:p w14:paraId="15DDB3CB" w14:textId="77777777" w:rsidR="00A3310A" w:rsidRDefault="00000000">
      <w:pPr>
        <w:spacing w:after="178"/>
        <w:ind w:left="-5"/>
      </w:pPr>
      <w:r>
        <w:rPr>
          <w:b/>
        </w:rPr>
        <w:t>Legislação relacionada:</w:t>
      </w:r>
    </w:p>
    <w:p w14:paraId="7547234C" w14:textId="77777777" w:rsidR="00A3310A" w:rsidRDefault="00000000">
      <w:pPr>
        <w:spacing w:after="167" w:line="265" w:lineRule="auto"/>
        <w:ind w:left="15"/>
        <w:jc w:val="left"/>
      </w:pPr>
      <w:hyperlink r:id="rId12">
        <w:r>
          <w:rPr>
            <w:color w:val="2205FC"/>
            <w:u w:val="single" w:color="2205FC"/>
          </w:rPr>
          <w:t>Lei nº 13303/2016, Art. 69, III.</w:t>
        </w:r>
      </w:hyperlink>
    </w:p>
    <w:p w14:paraId="45220F6C" w14:textId="77777777" w:rsidR="00A3310A" w:rsidRDefault="00000000">
      <w:pPr>
        <w:spacing w:after="167" w:line="265" w:lineRule="auto"/>
        <w:ind w:left="15"/>
        <w:jc w:val="left"/>
      </w:pPr>
      <w:hyperlink r:id="rId13">
        <w:r>
          <w:rPr>
            <w:color w:val="2205FC"/>
            <w:u w:val="single" w:color="2205FC"/>
          </w:rPr>
          <w:t>Lei nº 10192/2001, Art. 3º, § 1º.</w:t>
        </w:r>
      </w:hyperlink>
    </w:p>
    <w:p w14:paraId="46B682F7" w14:textId="77777777" w:rsidR="00A3310A" w:rsidRDefault="00000000">
      <w:pPr>
        <w:spacing w:after="178"/>
        <w:ind w:left="-5"/>
      </w:pPr>
      <w:r>
        <w:rPr>
          <w:b/>
        </w:rPr>
        <w:t>LICITAÇÃO E CONTRATOS. EMPRESA DE ASSISTÊNCIA TÉCNICA E EXTENSÃO RURAL DO DISTRITO FEDERAL - EMATER-DF. REPRESENTAÇÃO. PREGÃO ELETRÔNICO. EMPRESA ESTATAL. NOVA LEI DE LICITAÇÕES E CONTRATOS. APLICAÇÃO SUBSIDIÁRIA. IMPOSSIBILIDADE. LEI DAS ESTATAIS. APLICABILIDADE.</w:t>
      </w:r>
    </w:p>
    <w:tbl>
      <w:tblPr>
        <w:tblStyle w:val="TableGrid"/>
        <w:tblpPr w:vertAnchor="page" w:horzAnchor="page" w:tblpX="100" w:tblpY="5220"/>
        <w:tblOverlap w:val="never"/>
        <w:tblW w:w="500" w:type="dxa"/>
        <w:tblInd w:w="0" w:type="dxa"/>
        <w:tblCellMar>
          <w:top w:w="59" w:type="dxa"/>
          <w:left w:w="1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0"/>
      </w:tblGrid>
      <w:tr w:rsidR="00A3310A" w14:paraId="27310CBC" w14:textId="77777777">
        <w:trPr>
          <w:trHeight w:val="4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01447F"/>
          </w:tcPr>
          <w:p w14:paraId="62CB2AAD" w14:textId="77777777" w:rsidR="00A3310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FFFFFF"/>
                <w:sz w:val="28"/>
              </w:rPr>
              <w:t>2</w:t>
            </w:r>
          </w:p>
        </w:tc>
      </w:tr>
    </w:tbl>
    <w:tbl>
      <w:tblPr>
        <w:tblStyle w:val="TableGrid"/>
        <w:tblpPr w:vertAnchor="page" w:horzAnchor="page" w:tblpX="100" w:tblpY="12480"/>
        <w:tblOverlap w:val="never"/>
        <w:tblW w:w="500" w:type="dxa"/>
        <w:tblInd w:w="0" w:type="dxa"/>
        <w:tblCellMar>
          <w:top w:w="59" w:type="dxa"/>
          <w:left w:w="1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0"/>
      </w:tblGrid>
      <w:tr w:rsidR="00A3310A" w14:paraId="7CE8A527" w14:textId="77777777">
        <w:trPr>
          <w:trHeight w:val="4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01447F"/>
          </w:tcPr>
          <w:p w14:paraId="1FC252A1" w14:textId="77777777" w:rsidR="00A3310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FFFFFF"/>
                <w:sz w:val="28"/>
              </w:rPr>
              <w:t>3</w:t>
            </w:r>
          </w:p>
        </w:tc>
      </w:tr>
    </w:tbl>
    <w:p w14:paraId="0414D1FE" w14:textId="77777777" w:rsidR="00A3310A" w:rsidRDefault="00000000">
      <w:pPr>
        <w:spacing w:after="411"/>
        <w:ind w:left="-5" w:right="6"/>
      </w:pPr>
      <w:r>
        <w:t>Análise da possibilidade de aplicação subsidiária da Lei n° 14.133/2021 ao procedimento licitatório (pregão eletrônico) realizado pela Empresa de Assistência Técnica e Extensão Rural do Distrito Federal (Emater/DF), diante de possível vácuo legislativo na legislação de regência. Embora a Unidade Técnica do TCDF tenha se manifestado de forma favorável à aplicação da nova lei, o Conselheiro Relator apresentou entendimento divergente, sugerindo à jurisdicionada valer-se da Lei das Estatais (Lei n° 13.303/2016) e fazer constar em seus normativos internos os procedimentos pertinentes. Assim, o Tribunal decidiu alertar a Emater/DF que, de acordo com o art. 1º, § 1º, da Lei n.º 14.133/2021, as empresas públicas não são abrangidas por aquela norma; e que a Lei n.º 10.520/2002 somente será revogada em 30.12.2023, conforme consta do art. 193, inciso II, alínea b, da Lei n.º 14.133/2021, com a redação dada pela Lei Complementar n.º 198/2023.</w:t>
      </w:r>
    </w:p>
    <w:tbl>
      <w:tblPr>
        <w:tblStyle w:val="TableGrid"/>
        <w:tblW w:w="861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3537"/>
      </w:tblGrid>
      <w:tr w:rsidR="00A3310A" w14:paraId="2E7D31D1" w14:textId="77777777">
        <w:trPr>
          <w:trHeight w:val="865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</w:tcPr>
          <w:p w14:paraId="2DC8A476" w14:textId="77777777" w:rsidR="00A3310A" w:rsidRDefault="00000000">
            <w:pPr>
              <w:spacing w:after="52" w:line="259" w:lineRule="auto"/>
              <w:ind w:left="0" w:firstLine="0"/>
              <w:jc w:val="left"/>
            </w:pPr>
            <w:r>
              <w:rPr>
                <w:b/>
              </w:rPr>
              <w:t>Relator:</w:t>
            </w:r>
          </w:p>
          <w:p w14:paraId="055A1CA3" w14:textId="77777777" w:rsidR="00A3310A" w:rsidRDefault="00000000">
            <w:pPr>
              <w:spacing w:after="132" w:line="259" w:lineRule="auto"/>
              <w:ind w:left="0" w:firstLine="0"/>
              <w:jc w:val="left"/>
            </w:pPr>
            <w:r>
              <w:rPr>
                <w:b/>
              </w:rPr>
              <w:t>Inácio Magalhães Filho</w:t>
            </w:r>
          </w:p>
          <w:p w14:paraId="6D093D8D" w14:textId="77777777" w:rsidR="00A3310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Decisão por unanimidade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</w:tcPr>
          <w:p w14:paraId="168B4E19" w14:textId="77777777" w:rsidR="00A3310A" w:rsidRDefault="00000000">
            <w:pPr>
              <w:spacing w:after="52" w:line="259" w:lineRule="auto"/>
              <w:ind w:left="0" w:firstLine="0"/>
              <w:jc w:val="left"/>
            </w:pPr>
            <w:r>
              <w:rPr>
                <w:b/>
              </w:rPr>
              <w:t>Sessão:</w:t>
            </w:r>
          </w:p>
          <w:p w14:paraId="793FE2EE" w14:textId="77777777" w:rsidR="00A3310A" w:rsidRDefault="00000000">
            <w:pPr>
              <w:spacing w:after="132" w:line="259" w:lineRule="auto"/>
              <w:ind w:left="0" w:firstLine="0"/>
              <w:jc w:val="left"/>
            </w:pPr>
            <w:r>
              <w:rPr>
                <w:b/>
              </w:rPr>
              <w:t>ORDINÁRIA nº 5353, de 16/08/2023.</w:t>
            </w:r>
          </w:p>
          <w:p w14:paraId="22F1BA1A" w14:textId="77777777" w:rsidR="00A3310A" w:rsidRDefault="00000000">
            <w:pPr>
              <w:spacing w:after="0" w:line="259" w:lineRule="auto"/>
              <w:ind w:left="0" w:firstLine="0"/>
            </w:pPr>
            <w:hyperlink r:id="rId14">
              <w:r>
                <w:rPr>
                  <w:color w:val="2205FC"/>
                  <w:u w:val="single" w:color="2205FC"/>
                </w:rPr>
                <w:t>Proc. nº 6456/2023 - Dec. nº 3600/2023</w:t>
              </w:r>
            </w:hyperlink>
          </w:p>
        </w:tc>
      </w:tr>
    </w:tbl>
    <w:p w14:paraId="13ECE583" w14:textId="77777777" w:rsidR="00A3310A" w:rsidRDefault="00000000">
      <w:pPr>
        <w:spacing w:after="178"/>
        <w:ind w:left="-5"/>
      </w:pPr>
      <w:r>
        <w:rPr>
          <w:b/>
        </w:rPr>
        <w:t>Legislação relacionada:</w:t>
      </w:r>
    </w:p>
    <w:p w14:paraId="022D8A1E" w14:textId="77777777" w:rsidR="00A3310A" w:rsidRDefault="00000000">
      <w:pPr>
        <w:spacing w:after="167" w:line="265" w:lineRule="auto"/>
        <w:ind w:left="15"/>
        <w:jc w:val="left"/>
      </w:pPr>
      <w:hyperlink r:id="rId15">
        <w:r>
          <w:rPr>
            <w:color w:val="2205FC"/>
            <w:u w:val="single" w:color="2205FC"/>
          </w:rPr>
          <w:t>Lei nº 10520/2002.</w:t>
        </w:r>
      </w:hyperlink>
    </w:p>
    <w:p w14:paraId="281844DE" w14:textId="77777777" w:rsidR="00A3310A" w:rsidRDefault="00000000">
      <w:pPr>
        <w:spacing w:after="167" w:line="265" w:lineRule="auto"/>
        <w:ind w:left="15"/>
        <w:jc w:val="left"/>
      </w:pPr>
      <w:hyperlink r:id="rId16">
        <w:r>
          <w:rPr>
            <w:color w:val="2205FC"/>
            <w:u w:val="single" w:color="2205FC"/>
          </w:rPr>
          <w:t>Lei nº 13303/2016, Art. 32, IV.</w:t>
        </w:r>
      </w:hyperlink>
    </w:p>
    <w:p w14:paraId="4616B352" w14:textId="77777777" w:rsidR="00A3310A" w:rsidRDefault="00000000">
      <w:pPr>
        <w:spacing w:after="167" w:line="265" w:lineRule="auto"/>
        <w:ind w:left="15"/>
        <w:jc w:val="left"/>
      </w:pPr>
      <w:hyperlink r:id="rId17">
        <w:r>
          <w:rPr>
            <w:color w:val="2205FC"/>
            <w:u w:val="single" w:color="2205FC"/>
          </w:rPr>
          <w:t>Lei nº 14133/2021, Art. 1º, § 1º.</w:t>
        </w:r>
      </w:hyperlink>
    </w:p>
    <w:p w14:paraId="6FEA23E2" w14:textId="77777777" w:rsidR="00A3310A" w:rsidRDefault="00000000">
      <w:pPr>
        <w:spacing w:after="167" w:line="265" w:lineRule="auto"/>
        <w:ind w:left="15"/>
        <w:jc w:val="left"/>
      </w:pPr>
      <w:hyperlink r:id="rId18">
        <w:r>
          <w:rPr>
            <w:color w:val="2205FC"/>
            <w:u w:val="single" w:color="2205FC"/>
          </w:rPr>
          <w:t>Lei Complementar nº 198/2023, Art. 3º.</w:t>
        </w:r>
      </w:hyperlink>
    </w:p>
    <w:p w14:paraId="046F7FCE" w14:textId="77777777" w:rsidR="00A3310A" w:rsidRDefault="00000000">
      <w:pPr>
        <w:spacing w:after="178"/>
        <w:ind w:left="-5"/>
      </w:pPr>
      <w:r>
        <w:rPr>
          <w:b/>
        </w:rPr>
        <w:t>LICITAÇÃO E CONTRATOS. COMPANHIA DE SANEAMENTO DO DISTRITO FEDERAL - CAESB. CONSULTA. SERVIÇOS DE ENGENHARIA CONSULTIVA. BDI. PERCENTUAL DIFERENCIADO. POSSIBILIDADE. VANTAJOSIDADE. COMPETITIVIDADE DO CERTAME.</w:t>
      </w:r>
    </w:p>
    <w:p w14:paraId="4486A820" w14:textId="77777777" w:rsidR="00A3310A" w:rsidRDefault="00000000">
      <w:pPr>
        <w:spacing w:after="616"/>
        <w:ind w:left="-5" w:right="6"/>
      </w:pPr>
      <w:r>
        <w:t xml:space="preserve">Consulta formulada pela Companhia de Saneamento Ambiental do Distrito </w:t>
      </w:r>
      <w:proofErr w:type="gramStart"/>
      <w:r>
        <w:t>Federal  Caesb</w:t>
      </w:r>
      <w:proofErr w:type="gramEnd"/>
      <w:r>
        <w:t xml:space="preserve">, requerendo esclarecimentos quanto à possibilidade de adoção do BDI para a contratação de consultoria, em detrimento da metodologia do fator K, considerando a edição da Resolução n° 11/2020 do Dnit. O Tribunal deliberou por informar à consulente que, </w:t>
      </w:r>
      <w:proofErr w:type="spellStart"/>
      <w:r>
        <w:t>garantindose</w:t>
      </w:r>
      <w:proofErr w:type="spellEnd"/>
      <w:r>
        <w:t xml:space="preserve"> a vantajosidade para a Administração e mantendo-se a competitividade do certame, estando ainda a Companhia provida de referências que sustentam a adequação efetuada, não há impedimento para a utilização do BDI para serviços de engenharia consultiva de 29,70%, diferente do BDI adotado pelo Dnit.</w:t>
      </w:r>
    </w:p>
    <w:p w14:paraId="7CECA67E" w14:textId="77777777" w:rsidR="00A3310A" w:rsidRDefault="00000000">
      <w:pPr>
        <w:tabs>
          <w:tab w:val="center" w:pos="5464"/>
        </w:tabs>
        <w:spacing w:after="178"/>
        <w:ind w:left="-15" w:firstLine="0"/>
        <w:jc w:val="left"/>
      </w:pPr>
      <w:r>
        <w:rPr>
          <w:b/>
        </w:rPr>
        <w:t>Relator:</w:t>
      </w:r>
      <w:r>
        <w:rPr>
          <w:b/>
        </w:rPr>
        <w:tab/>
        <w:t>Sessão:</w:t>
      </w:r>
    </w:p>
    <w:tbl>
      <w:tblPr>
        <w:tblStyle w:val="TableGrid"/>
        <w:tblW w:w="850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3426"/>
      </w:tblGrid>
      <w:tr w:rsidR="00A3310A" w14:paraId="27E3F214" w14:textId="77777777">
        <w:trPr>
          <w:trHeight w:val="565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</w:tcPr>
          <w:p w14:paraId="1DBC2BEF" w14:textId="77777777" w:rsidR="00A3310A" w:rsidRDefault="00000000">
            <w:pPr>
              <w:spacing w:after="132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Antonio</w:t>
            </w:r>
            <w:proofErr w:type="spellEnd"/>
            <w:r>
              <w:rPr>
                <w:b/>
              </w:rPr>
              <w:t xml:space="preserve"> Renato Alves Rainha</w:t>
            </w:r>
          </w:p>
          <w:p w14:paraId="56EE228D" w14:textId="77777777" w:rsidR="00A3310A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Decisão por unanimidade</w:t>
            </w:r>
          </w:p>
        </w:tc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14:paraId="08B053F1" w14:textId="77777777" w:rsidR="00A3310A" w:rsidRDefault="00000000">
            <w:pPr>
              <w:spacing w:after="132" w:line="259" w:lineRule="auto"/>
              <w:ind w:left="0" w:firstLine="0"/>
            </w:pPr>
            <w:r>
              <w:rPr>
                <w:b/>
              </w:rPr>
              <w:t>ORDINÁRIA nº 5355, de 30/08/2023.</w:t>
            </w:r>
          </w:p>
          <w:p w14:paraId="6F90FA6C" w14:textId="77777777" w:rsidR="00A3310A" w:rsidRDefault="00000000">
            <w:pPr>
              <w:spacing w:after="0" w:line="259" w:lineRule="auto"/>
              <w:ind w:left="0" w:firstLine="0"/>
            </w:pPr>
            <w:hyperlink r:id="rId19">
              <w:r>
                <w:rPr>
                  <w:color w:val="2205FC"/>
                  <w:u w:val="single" w:color="2205FC"/>
                </w:rPr>
                <w:t>Proc. nº 841/2023 - Dec. nº 3889/2023</w:t>
              </w:r>
            </w:hyperlink>
          </w:p>
        </w:tc>
      </w:tr>
    </w:tbl>
    <w:p w14:paraId="6ECAB205" w14:textId="77777777" w:rsidR="00A3310A" w:rsidRDefault="00000000">
      <w:pPr>
        <w:spacing w:after="470" w:line="259" w:lineRule="auto"/>
        <w:ind w:left="28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2DF448F" wp14:editId="2A560B3A">
                <wp:extent cx="6350000" cy="12700"/>
                <wp:effectExtent l="0" t="0" r="0" b="0"/>
                <wp:docPr id="2330" name="Group 2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0" cy="12700"/>
                          <a:chOff x="0" y="0"/>
                          <a:chExt cx="6350000" cy="12700"/>
                        </a:xfrm>
                      </wpg:grpSpPr>
                      <wps:wsp>
                        <wps:cNvPr id="178" name="Shape 178"/>
                        <wps:cNvSpPr/>
                        <wps:spPr>
                          <a:xfrm>
                            <a:off x="0" y="0"/>
                            <a:ext cx="635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>
                                <a:moveTo>
                                  <a:pt x="0" y="0"/>
                                </a:moveTo>
                                <a:lnTo>
                                  <a:pt x="6350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30" style="width:500pt;height:1pt;mso-position-horizontal-relative:char;mso-position-vertical-relative:line" coordsize="63500,127">
                <v:shape id="Shape 178" style="position:absolute;width:63500;height:0;left:0;top:0;" coordsize="6350000,0" path="m0,0l635000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11C51F7" w14:textId="77777777" w:rsidR="00A3310A" w:rsidRDefault="00000000">
      <w:pPr>
        <w:pStyle w:val="Ttulo1"/>
        <w:spacing w:after="305"/>
        <w:ind w:left="0" w:right="2209"/>
      </w:pPr>
      <w:r>
        <w:lastRenderedPageBreak/>
        <w:t>OUTRAS DECISÕES REFERENTES À LICITAÇÕES E</w:t>
      </w:r>
    </w:p>
    <w:p w14:paraId="66815D26" w14:textId="77777777" w:rsidR="00A3310A" w:rsidRDefault="00000000">
      <w:pPr>
        <w:spacing w:after="167" w:line="265" w:lineRule="auto"/>
        <w:ind w:left="15"/>
        <w:jc w:val="left"/>
      </w:pPr>
      <w:hyperlink r:id="rId20">
        <w:r>
          <w:rPr>
            <w:color w:val="2205FC"/>
            <w:u w:val="single" w:color="2205FC"/>
          </w:rPr>
          <w:t>Decisão nº 3266/2023</w:t>
        </w:r>
      </w:hyperlink>
    </w:p>
    <w:p w14:paraId="0BDF74B7" w14:textId="77777777" w:rsidR="00A3310A" w:rsidRDefault="00000000">
      <w:pPr>
        <w:spacing w:after="167" w:line="265" w:lineRule="auto"/>
        <w:ind w:left="15"/>
        <w:jc w:val="left"/>
      </w:pPr>
      <w:hyperlink r:id="rId21">
        <w:r>
          <w:rPr>
            <w:color w:val="2205FC"/>
            <w:u w:val="single" w:color="2205FC"/>
          </w:rPr>
          <w:t>Decisão nº 3247/2023</w:t>
        </w:r>
      </w:hyperlink>
    </w:p>
    <w:p w14:paraId="168D5844" w14:textId="77777777" w:rsidR="00A3310A" w:rsidRDefault="00000000">
      <w:pPr>
        <w:spacing w:after="167" w:line="265" w:lineRule="auto"/>
        <w:ind w:left="15"/>
        <w:jc w:val="left"/>
      </w:pPr>
      <w:hyperlink r:id="rId22">
        <w:r>
          <w:rPr>
            <w:color w:val="2205FC"/>
            <w:u w:val="single" w:color="2205FC"/>
          </w:rPr>
          <w:t>Decisão nº 3392/2023</w:t>
        </w:r>
      </w:hyperlink>
    </w:p>
    <w:p w14:paraId="477FDCA1" w14:textId="77777777" w:rsidR="00A3310A" w:rsidRDefault="00000000">
      <w:pPr>
        <w:spacing w:after="167" w:line="265" w:lineRule="auto"/>
        <w:ind w:left="15"/>
        <w:jc w:val="left"/>
      </w:pPr>
      <w:hyperlink r:id="rId23">
        <w:r>
          <w:rPr>
            <w:color w:val="2205FC"/>
            <w:u w:val="single" w:color="2205FC"/>
          </w:rPr>
          <w:t>Decisão nº 3384/2023</w:t>
        </w:r>
      </w:hyperlink>
    </w:p>
    <w:p w14:paraId="0F3FE19C" w14:textId="77777777" w:rsidR="00A3310A" w:rsidRDefault="00000000">
      <w:pPr>
        <w:spacing w:after="167" w:line="265" w:lineRule="auto"/>
        <w:ind w:left="15"/>
        <w:jc w:val="left"/>
      </w:pPr>
      <w:hyperlink r:id="rId24">
        <w:r>
          <w:rPr>
            <w:color w:val="2205FC"/>
            <w:u w:val="single" w:color="2205FC"/>
          </w:rPr>
          <w:t>Decisão nº 3490/2023</w:t>
        </w:r>
      </w:hyperlink>
    </w:p>
    <w:p w14:paraId="20BEDE56" w14:textId="77777777" w:rsidR="00A3310A" w:rsidRDefault="00000000">
      <w:pPr>
        <w:spacing w:after="167" w:line="265" w:lineRule="auto"/>
        <w:ind w:left="15"/>
        <w:jc w:val="left"/>
      </w:pPr>
      <w:hyperlink r:id="rId25">
        <w:r>
          <w:rPr>
            <w:color w:val="2205FC"/>
            <w:u w:val="single" w:color="2205FC"/>
          </w:rPr>
          <w:t>Decisão nº 3559/2023</w:t>
        </w:r>
      </w:hyperlink>
    </w:p>
    <w:p w14:paraId="556459B7" w14:textId="77777777" w:rsidR="00A3310A" w:rsidRDefault="00000000">
      <w:pPr>
        <w:spacing w:after="167" w:line="265" w:lineRule="auto"/>
        <w:ind w:left="15"/>
        <w:jc w:val="left"/>
      </w:pPr>
      <w:hyperlink r:id="rId26">
        <w:r>
          <w:rPr>
            <w:color w:val="2205FC"/>
            <w:u w:val="single" w:color="2205FC"/>
          </w:rPr>
          <w:t>Decisão nº 3711/2023</w:t>
        </w:r>
      </w:hyperlink>
    </w:p>
    <w:p w14:paraId="05D29E78" w14:textId="77777777" w:rsidR="00A3310A" w:rsidRDefault="00000000">
      <w:pPr>
        <w:spacing w:after="9947" w:line="265" w:lineRule="auto"/>
        <w:ind w:left="15"/>
        <w:jc w:val="left"/>
      </w:pPr>
      <w:hyperlink r:id="rId27">
        <w:r>
          <w:rPr>
            <w:color w:val="2205FC"/>
            <w:u w:val="single" w:color="2205FC"/>
          </w:rPr>
          <w:t>Decisão nº 3820/2023</w:t>
        </w:r>
      </w:hyperlink>
    </w:p>
    <w:p w14:paraId="7C162507" w14:textId="77777777" w:rsidR="00A3310A" w:rsidRDefault="00000000">
      <w:pPr>
        <w:spacing w:after="0" w:line="259" w:lineRule="auto"/>
        <w:ind w:right="1993"/>
        <w:jc w:val="right"/>
      </w:pPr>
      <w:r>
        <w:rPr>
          <w:color w:val="FFFFFF"/>
        </w:rPr>
        <w:t>Coordenadoria de Biblioteca, Gestão da Informação e do Conhecimento – COBGI</w:t>
      </w:r>
    </w:p>
    <w:p w14:paraId="789769A9" w14:textId="77777777" w:rsidR="00A3310A" w:rsidRDefault="00000000">
      <w:pPr>
        <w:spacing w:after="0" w:line="259" w:lineRule="auto"/>
        <w:ind w:right="2352"/>
        <w:jc w:val="right"/>
      </w:pPr>
      <w:r>
        <w:rPr>
          <w:color w:val="FFFFFF"/>
        </w:rPr>
        <w:lastRenderedPageBreak/>
        <w:t>Supervisão de Sistemas de Informação, Legislação e Jurisprudência - SSI</w:t>
      </w:r>
    </w:p>
    <w:p w14:paraId="63BD7CCA" w14:textId="77777777" w:rsidR="00A3310A" w:rsidRDefault="00000000">
      <w:pPr>
        <w:spacing w:after="0" w:line="259" w:lineRule="auto"/>
        <w:ind w:left="1960" w:firstLine="0"/>
        <w:jc w:val="left"/>
      </w:pPr>
      <w:r>
        <w:rPr>
          <w:b/>
          <w:color w:val="FFFFFF"/>
        </w:rPr>
        <w:t xml:space="preserve">Telefone: </w:t>
      </w:r>
      <w:r>
        <w:rPr>
          <w:color w:val="FFFFFF"/>
        </w:rPr>
        <w:t xml:space="preserve">(61) 3314-2226/2593/2259 </w:t>
      </w:r>
      <w:proofErr w:type="spellStart"/>
      <w:r>
        <w:rPr>
          <w:b/>
          <w:color w:val="FFFFFF"/>
        </w:rPr>
        <w:t>email</w:t>
      </w:r>
      <w:proofErr w:type="spellEnd"/>
      <w:r>
        <w:rPr>
          <w:b/>
          <w:color w:val="FFFFFF"/>
        </w:rPr>
        <w:t xml:space="preserve">: </w:t>
      </w:r>
      <w:r>
        <w:rPr>
          <w:color w:val="FFFFFF"/>
        </w:rPr>
        <w:t>jurisprudencia@tc.df.gov.br</w:t>
      </w:r>
    </w:p>
    <w:sectPr w:rsidR="00A3310A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0" w:h="16840"/>
      <w:pgMar w:top="442" w:right="357" w:bottom="387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3369F" w14:textId="77777777" w:rsidR="00D3122E" w:rsidRDefault="00D3122E">
      <w:pPr>
        <w:spacing w:after="0" w:line="240" w:lineRule="auto"/>
      </w:pPr>
      <w:r>
        <w:separator/>
      </w:r>
    </w:p>
  </w:endnote>
  <w:endnote w:type="continuationSeparator" w:id="0">
    <w:p w14:paraId="7D6BB0B3" w14:textId="77777777" w:rsidR="00D3122E" w:rsidRDefault="00D31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Y="15640"/>
      <w:tblOverlap w:val="never"/>
      <w:tblW w:w="11900" w:type="dxa"/>
      <w:tblInd w:w="0" w:type="dxa"/>
      <w:tblCellMar>
        <w:top w:w="0" w:type="dxa"/>
        <w:left w:w="115" w:type="dxa"/>
        <w:bottom w:w="157" w:type="dxa"/>
        <w:right w:w="838" w:type="dxa"/>
      </w:tblCellMar>
      <w:tblLook w:val="04A0" w:firstRow="1" w:lastRow="0" w:firstColumn="1" w:lastColumn="0" w:noHBand="0" w:noVBand="1"/>
    </w:tblPr>
    <w:tblGrid>
      <w:gridCol w:w="11900"/>
    </w:tblGrid>
    <w:tr w:rsidR="00A3310A" w14:paraId="3795B380" w14:textId="77777777">
      <w:trPr>
        <w:trHeight w:val="1200"/>
      </w:trPr>
      <w:tc>
        <w:tcPr>
          <w:tcW w:w="11900" w:type="dxa"/>
          <w:tcBorders>
            <w:top w:val="nil"/>
            <w:left w:val="nil"/>
            <w:bottom w:val="nil"/>
            <w:right w:val="nil"/>
          </w:tcBorders>
          <w:shd w:val="clear" w:color="auto" w:fill="01447F"/>
          <w:vAlign w:val="bottom"/>
        </w:tcPr>
        <w:p w14:paraId="042C6E72" w14:textId="77777777" w:rsidR="00A3310A" w:rsidRDefault="00000000">
          <w:pPr>
            <w:spacing w:after="0" w:line="259" w:lineRule="auto"/>
            <w:ind w:left="0" w:firstLine="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  <w:color w:val="FFFFFF"/>
              <w:sz w:val="80"/>
            </w:rPr>
            <w:t>1</w:t>
          </w:r>
          <w:r>
            <w:rPr>
              <w:b/>
              <w:color w:val="FFFFFF"/>
              <w:sz w:val="80"/>
            </w:rPr>
            <w:fldChar w:fldCharType="end"/>
          </w:r>
        </w:p>
      </w:tc>
    </w:tr>
  </w:tbl>
  <w:p w14:paraId="05141629" w14:textId="77777777" w:rsidR="00A3310A" w:rsidRDefault="00A3310A">
    <w:pPr>
      <w:spacing w:after="0" w:line="259" w:lineRule="auto"/>
      <w:ind w:left="-720" w:right="11543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773B" w14:textId="77777777" w:rsidR="00A3310A" w:rsidRDefault="00000000">
    <w:pPr>
      <w:spacing w:after="0" w:line="259" w:lineRule="auto"/>
      <w:ind w:left="0" w:right="4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color w:val="FFFFFF"/>
        <w:sz w:val="80"/>
      </w:rPr>
      <w:t>3</w:t>
    </w:r>
    <w:r>
      <w:rPr>
        <w:b/>
        <w:color w:val="FFFFFF"/>
        <w:sz w:val="8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Y="15640"/>
      <w:tblOverlap w:val="never"/>
      <w:tblW w:w="11900" w:type="dxa"/>
      <w:tblInd w:w="0" w:type="dxa"/>
      <w:tblCellMar>
        <w:top w:w="0" w:type="dxa"/>
        <w:left w:w="115" w:type="dxa"/>
        <w:bottom w:w="157" w:type="dxa"/>
        <w:right w:w="838" w:type="dxa"/>
      </w:tblCellMar>
      <w:tblLook w:val="04A0" w:firstRow="1" w:lastRow="0" w:firstColumn="1" w:lastColumn="0" w:noHBand="0" w:noVBand="1"/>
    </w:tblPr>
    <w:tblGrid>
      <w:gridCol w:w="11900"/>
    </w:tblGrid>
    <w:tr w:rsidR="00A3310A" w14:paraId="43D7F7EB" w14:textId="77777777">
      <w:trPr>
        <w:trHeight w:val="1200"/>
      </w:trPr>
      <w:tc>
        <w:tcPr>
          <w:tcW w:w="11900" w:type="dxa"/>
          <w:tcBorders>
            <w:top w:val="nil"/>
            <w:left w:val="nil"/>
            <w:bottom w:val="nil"/>
            <w:right w:val="nil"/>
          </w:tcBorders>
          <w:shd w:val="clear" w:color="auto" w:fill="01447F"/>
          <w:vAlign w:val="bottom"/>
        </w:tcPr>
        <w:p w14:paraId="7218FE12" w14:textId="77777777" w:rsidR="00A3310A" w:rsidRDefault="00000000">
          <w:pPr>
            <w:spacing w:after="0" w:line="259" w:lineRule="auto"/>
            <w:ind w:left="0" w:firstLine="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  <w:color w:val="FFFFFF"/>
              <w:sz w:val="80"/>
            </w:rPr>
            <w:t>1</w:t>
          </w:r>
          <w:r>
            <w:rPr>
              <w:b/>
              <w:color w:val="FFFFFF"/>
              <w:sz w:val="80"/>
            </w:rPr>
            <w:fldChar w:fldCharType="end"/>
          </w:r>
        </w:p>
      </w:tc>
    </w:tr>
  </w:tbl>
  <w:p w14:paraId="4F4EC41E" w14:textId="77777777" w:rsidR="00A3310A" w:rsidRDefault="00A3310A">
    <w:pPr>
      <w:spacing w:after="0" w:line="259" w:lineRule="auto"/>
      <w:ind w:left="-720" w:right="11543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95DC2" w14:textId="77777777" w:rsidR="00D3122E" w:rsidRDefault="00D3122E">
      <w:pPr>
        <w:spacing w:after="0" w:line="240" w:lineRule="auto"/>
      </w:pPr>
      <w:r>
        <w:separator/>
      </w:r>
    </w:p>
  </w:footnote>
  <w:footnote w:type="continuationSeparator" w:id="0">
    <w:p w14:paraId="51EB1988" w14:textId="77777777" w:rsidR="00D3122E" w:rsidRDefault="00D31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3E81A" w14:textId="77777777" w:rsidR="00A3310A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69192C1" wp14:editId="79B7E4E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06400" cy="9931400"/>
              <wp:effectExtent l="0" t="0" r="0" b="0"/>
              <wp:wrapNone/>
              <wp:docPr id="3158" name="Group 3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6400" cy="9931400"/>
                        <a:chOff x="0" y="0"/>
                        <a:chExt cx="406400" cy="9931400"/>
                      </a:xfrm>
                    </wpg:grpSpPr>
                    <wps:wsp>
                      <wps:cNvPr id="3366" name="Shape 3366"/>
                      <wps:cNvSpPr/>
                      <wps:spPr>
                        <a:xfrm>
                          <a:off x="0" y="0"/>
                          <a:ext cx="406400" cy="9931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400" h="9931400">
                              <a:moveTo>
                                <a:pt x="0" y="0"/>
                              </a:moveTo>
                              <a:lnTo>
                                <a:pt x="406400" y="0"/>
                              </a:lnTo>
                              <a:lnTo>
                                <a:pt x="406400" y="9931400"/>
                              </a:lnTo>
                              <a:lnTo>
                                <a:pt x="0" y="9931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44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158" style="width:32pt;height:782pt;position:absolute;z-index:-2147483648;mso-position-horizontal-relative:page;mso-position-horizontal:absolute;margin-left:0pt;mso-position-vertical-relative:page;margin-top:0pt;" coordsize="4064,99314">
              <v:shape id="Shape 3367" style="position:absolute;width:4064;height:99314;left:0;top:0;" coordsize="406400,9931400" path="m0,0l406400,0l406400,9931400l0,9931400l0,0">
                <v:stroke weight="0pt" endcap="square" joinstyle="miter" miterlimit="10" on="false" color="#000000" opacity="0"/>
                <v:fill on="true" color="#01447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FF1EB" w14:textId="77777777" w:rsidR="00A3310A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ED6711B" wp14:editId="23BDC8F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3148" name="Group 31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693400"/>
                        <a:chOff x="0" y="0"/>
                        <a:chExt cx="7556500" cy="10693400"/>
                      </a:xfrm>
                    </wpg:grpSpPr>
                    <wps:wsp>
                      <wps:cNvPr id="3362" name="Shape 3362"/>
                      <wps:cNvSpPr/>
                      <wps:spPr>
                        <a:xfrm>
                          <a:off x="0" y="0"/>
                          <a:ext cx="406400" cy="9931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400" h="9931400">
                              <a:moveTo>
                                <a:pt x="0" y="0"/>
                              </a:moveTo>
                              <a:lnTo>
                                <a:pt x="406400" y="0"/>
                              </a:lnTo>
                              <a:lnTo>
                                <a:pt x="406400" y="9931400"/>
                              </a:lnTo>
                              <a:lnTo>
                                <a:pt x="0" y="9931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44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3" name="Shape 3363"/>
                      <wps:cNvSpPr/>
                      <wps:spPr>
                        <a:xfrm>
                          <a:off x="0" y="9931400"/>
                          <a:ext cx="7556500" cy="76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7620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762000"/>
                              </a:lnTo>
                              <a:lnTo>
                                <a:pt x="0" y="76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44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148" style="width:595pt;height:842pt;position:absolute;z-index:-2147483648;mso-position-horizontal-relative:page;mso-position-horizontal:absolute;margin-left:0pt;mso-position-vertical-relative:page;margin-top:0pt;" coordsize="75565,106934">
              <v:shape id="Shape 3364" style="position:absolute;width:4064;height:99314;left:0;top:0;" coordsize="406400,9931400" path="m0,0l406400,0l406400,9931400l0,9931400l0,0">
                <v:stroke weight="0pt" endcap="square" joinstyle="miter" miterlimit="10" on="false" color="#000000" opacity="0"/>
                <v:fill on="true" color="#01447f"/>
              </v:shape>
              <v:shape id="Shape 3365" style="position:absolute;width:75565;height:7620;left:0;top:99314;" coordsize="7556500,762000" path="m0,0l7556500,0l7556500,762000l0,762000l0,0">
                <v:stroke weight="0pt" endcap="square" joinstyle="miter" miterlimit="10" on="false" color="#000000" opacity="0"/>
                <v:fill on="true" color="#01447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D6460" w14:textId="77777777" w:rsidR="00A3310A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2D463E2" wp14:editId="6908A40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06400" cy="9931400"/>
              <wp:effectExtent l="0" t="0" r="0" b="0"/>
              <wp:wrapNone/>
              <wp:docPr id="3133" name="Group 31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6400" cy="9931400"/>
                        <a:chOff x="0" y="0"/>
                        <a:chExt cx="406400" cy="9931400"/>
                      </a:xfrm>
                    </wpg:grpSpPr>
                    <wps:wsp>
                      <wps:cNvPr id="3360" name="Shape 3360"/>
                      <wps:cNvSpPr/>
                      <wps:spPr>
                        <a:xfrm>
                          <a:off x="0" y="0"/>
                          <a:ext cx="406400" cy="9931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400" h="9931400">
                              <a:moveTo>
                                <a:pt x="0" y="0"/>
                              </a:moveTo>
                              <a:lnTo>
                                <a:pt x="406400" y="0"/>
                              </a:lnTo>
                              <a:lnTo>
                                <a:pt x="406400" y="9931400"/>
                              </a:lnTo>
                              <a:lnTo>
                                <a:pt x="0" y="9931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44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133" style="width:32pt;height:782pt;position:absolute;z-index:-2147483648;mso-position-horizontal-relative:page;mso-position-horizontal:absolute;margin-left:0pt;mso-position-vertical-relative:page;margin-top:0pt;" coordsize="4064,99314">
              <v:shape id="Shape 3361" style="position:absolute;width:4064;height:99314;left:0;top:0;" coordsize="406400,9931400" path="m0,0l406400,0l406400,9931400l0,9931400l0,0">
                <v:stroke weight="0pt" endcap="square" joinstyle="miter" miterlimit="10" on="false" color="#000000" opacity="0"/>
                <v:fill on="true" color="#01447f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10A"/>
    <w:rsid w:val="00902FF9"/>
    <w:rsid w:val="00A3310A"/>
    <w:rsid w:val="00CD2977"/>
    <w:rsid w:val="00D3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34495"/>
  <w15:docId w15:val="{B073AD58-D486-4A00-927E-696BCDC5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4" w:line="251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222" w:line="259" w:lineRule="auto"/>
      <w:ind w:left="180"/>
      <w:jc w:val="right"/>
      <w:outlineLvl w:val="0"/>
    </w:pPr>
    <w:rPr>
      <w:rFonts w:ascii="Arial" w:eastAsia="Arial" w:hAnsi="Arial" w:cs="Arial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hyperlink" Target="http://www.planalto.gov.br/ccivil_03/leis/leis_2001/l10192.htm" TargetMode="External"/><Relationship Id="rId18" Type="http://schemas.openxmlformats.org/officeDocument/2006/relationships/hyperlink" Target="http://www.planalto.gov.br/ccivil_03/leis/lcp/Lcp198.htm" TargetMode="External"/><Relationship Id="rId26" Type="http://schemas.openxmlformats.org/officeDocument/2006/relationships/hyperlink" Target="https://etcdf.tc.df.gov.br/?a=consultaETCDF&amp;f=formPrincipal&amp;edoc=4B1BCA9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tcdf.tc.df.gov.br/?a=consultaETCDF&amp;f=formPrincipal&amp;edoc=452BA098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://www.planalto.gov.br/ccivil_03/_ato2015-2018/2016/lei/l13303.htm" TargetMode="External"/><Relationship Id="rId17" Type="http://schemas.openxmlformats.org/officeDocument/2006/relationships/hyperlink" Target="http://www.planalto.gov.br/ccivil_03/_ato2019-2022/2021/lei/L14133.htm" TargetMode="External"/><Relationship Id="rId25" Type="http://schemas.openxmlformats.org/officeDocument/2006/relationships/hyperlink" Target="https://etcdf.tc.df.gov.br/?a=consultaETCDF&amp;f=formPrincipal&amp;edoc=B53D6D9E" TargetMode="External"/><Relationship Id="rId33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://www.planalto.gov.br/ccivil_03/_ato2015-2018/2016/lei/l13303.htm" TargetMode="External"/><Relationship Id="rId20" Type="http://schemas.openxmlformats.org/officeDocument/2006/relationships/hyperlink" Target="https://etcdf.tc.df.gov.br/?a=consultaETCDF&amp;f=formPrincipal&amp;edoc=0C873D59" TargetMode="External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etcdf.tc.df.gov.br/?a=consultaETCDF&amp;f=formPrincipal&amp;edoc=6A4B9069" TargetMode="External"/><Relationship Id="rId24" Type="http://schemas.openxmlformats.org/officeDocument/2006/relationships/hyperlink" Target="https://etcdf.tc.df.gov.br/?a=consultaETCDF&amp;f=formPrincipal&amp;edoc=D059EF35" TargetMode="External"/><Relationship Id="rId32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://www.planalto.gov.br/ccivil_03/LEIS/2002/L10520.htm" TargetMode="External"/><Relationship Id="rId23" Type="http://schemas.openxmlformats.org/officeDocument/2006/relationships/hyperlink" Target="https://etcdf.tc.df.gov.br/?a=consultaETCDF&amp;f=formPrincipal&amp;edoc=24C39F04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jurisprudencia.tc.df.gov.br/solicitacao-de-boletim/" TargetMode="External"/><Relationship Id="rId19" Type="http://schemas.openxmlformats.org/officeDocument/2006/relationships/hyperlink" Target="https://etcdf.tc.df.gov.br/?a=consultaETCDF&amp;f=formPrincipal&amp;edoc=83E34E25" TargetMode="External"/><Relationship Id="rId3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hyperlink" Target="https://etcdf.tc.df.gov.br/?a=consultaETCDF&amp;f=formPrincipal&amp;edoc=10864E85" TargetMode="External"/><Relationship Id="rId22" Type="http://schemas.openxmlformats.org/officeDocument/2006/relationships/hyperlink" Target="https://etcdf.tc.df.gov.br/?a=consultaETCDF&amp;f=formPrincipal&amp;edoc=71C5096C" TargetMode="External"/><Relationship Id="rId27" Type="http://schemas.openxmlformats.org/officeDocument/2006/relationships/hyperlink" Target="https://etcdf.tc.df.gov.br/?a=consultaETCDF&amp;f=formPrincipal&amp;edoc=8D2FB82D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1343</Words>
  <Characters>7254</Characters>
  <Application>Microsoft Office Word</Application>
  <DocSecurity>0</DocSecurity>
  <Lines>60</Lines>
  <Paragraphs>17</Paragraphs>
  <ScaleCrop>false</ScaleCrop>
  <Company/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Kamili Teles De Araújo</dc:creator>
  <cp:keywords/>
  <cp:lastModifiedBy>Kamili Teles De Araújo</cp:lastModifiedBy>
  <cp:revision>2</cp:revision>
  <dcterms:created xsi:type="dcterms:W3CDTF">2026-08-26T20:11:00Z</dcterms:created>
  <dcterms:modified xsi:type="dcterms:W3CDTF">2026-08-26T20:11:00Z</dcterms:modified>
</cp:coreProperties>
</file>