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81E4" w14:textId="77777777" w:rsidR="007A4BDC" w:rsidRDefault="0000000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06EF83" wp14:editId="661F54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1402" name="Group 1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1623" name="Shape 1623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9F8E5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33400" y="3041955"/>
                            <a:ext cx="901979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DD4CC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O Boletim de Jurisprudência do TCDF é uma publicação periódica elaborada pela Supervisão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33400" y="3284144"/>
                            <a:ext cx="9019963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9B337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Sistemas de Informação, Legislação e Jurisprudência, da Coordenadoria de Biblioteca, Gestão 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33400" y="3526459"/>
                            <a:ext cx="9019797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4ECA7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Informação e do Conhecimento, com a finalidade de apresentar resumos das teses constantes 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3400" y="3768648"/>
                            <a:ext cx="9019389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D4CEE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decisões desta Corte que se enquadrem em critérios de relevância, reiteração, ineditismo 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33400" y="4010837"/>
                            <a:ext cx="1160209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95F15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controvérsia.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33400" y="4253154"/>
                            <a:ext cx="9019797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42D8B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Ressalta-se, todavia, que as informações aqui apresentadas não constituem resumo oficial das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33400" y="4495343"/>
                            <a:ext cx="9019456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DCC0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decisões proferidas pelo Tribunal nem representam, necessariamente, o posicionamento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33400" y="4737659"/>
                            <a:ext cx="4160118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AEBAE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prevalecente na Corte sobre a matéria.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33400" y="4979848"/>
                            <a:ext cx="9018950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3CF88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Este boletim informativo não substitui a publicação oficial das decisões. Para um exame mais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33400" y="5222037"/>
                            <a:ext cx="9020538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7707C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aprofundado da decisão, sugere-se o acesso aos documentos do processo por meio dos links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33400" y="5464353"/>
                            <a:ext cx="2666616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8A55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presentes em cada decisão.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3400" y="5706542"/>
                            <a:ext cx="5598961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D06A3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Deseja receber os Boletins de Jurisprudência do Tribunal?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4743146" y="5706542"/>
                            <a:ext cx="101386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CAF50" w14:textId="77777777" w:rsidR="007A4BDC" w:rsidRDefault="00000000">
                              <w:hyperlink r:id="rId4">
                                <w:r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u w:val="single" w:color="0000FF"/>
                                  </w:rPr>
                                  <w:t>Clique aqui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5505450" y="5706542"/>
                            <a:ext cx="56348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B97DA8" w14:textId="77777777" w:rsidR="007A4BDC" w:rsidRDefault="00000000">
                              <w:hyperlink r:id="rId5">
                                <w:r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u w:val="single" w:color="0000FF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903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5" name="Shape 1625"/>
                        <wps:cNvSpPr/>
                        <wps:spPr>
                          <a:xfrm>
                            <a:off x="508000" y="1778000"/>
                            <a:ext cx="67818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 h="7620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  <a:lnTo>
                                  <a:pt x="67818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71500" y="1904644"/>
                            <a:ext cx="4454816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2FEA9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Boletim de Jurisprudência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71500" y="2215032"/>
                            <a:ext cx="2731984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8DBE8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Processual, nº 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2" name="Picture 16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60960"/>
                            <a:ext cx="7482840" cy="905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571500" y="2711755"/>
                            <a:ext cx="3469884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5334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Sessões de janeiro a junho de 2023.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1905000" y="6515100"/>
                            <a:ext cx="368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0">
                                <a:moveTo>
                                  <a:pt x="0" y="0"/>
                                </a:moveTo>
                                <a:lnTo>
                                  <a:pt x="3683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63500" y="6896100"/>
                            <a:ext cx="3175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2540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72847" y="6933540"/>
                            <a:ext cx="131480" cy="218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F85B2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57200" y="7481570"/>
                            <a:ext cx="912130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2B595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Estudos Especiais acerca da possibilidade de aplicação de legislação do Distrito Federal que venha a implementar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57200" y="7629398"/>
                            <a:ext cx="912114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4A9B2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futuros Programas de Incentivos à Regularização Fiscal, nas situações de imputação de débitos e de multas oriundos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57200" y="7777226"/>
                            <a:ext cx="912097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490CD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decisões exaradas por esta Corte de Contas. O Tribunal, por unanimidade, fixou o entendimento quanto 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7200" y="7925054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94730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impossibilidade de legislação do Distrito Federal estabelecer incentivos ao pagamento de débitos e multas decorrentes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57200" y="8072883"/>
                            <a:ext cx="913992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9E5A4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de decisões proferidas pelo Tribunal de Contas do Distrito Federal - TCDF sem a prévia iniciativa legislativa deste último,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57200" y="8220837"/>
                            <a:ext cx="551403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0545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ante a autonomia e a independência asseguradas à atuação do Tribunal.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57200" y="9030970"/>
                            <a:ext cx="205563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F110A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Decisão por unanimidade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57200" y="8789670"/>
                            <a:ext cx="236507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B9412" w14:textId="77777777" w:rsidR="007A4BDC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Antonio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Renato Alves Rainha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57200" y="8599170"/>
                            <a:ext cx="638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834E2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Relator: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683000" y="8599170"/>
                            <a:ext cx="64777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C214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Sessão: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683000" y="8789670"/>
                            <a:ext cx="28216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2BCBA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ORDINÁRIA nº 5329, de 15/02/2023.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57200" y="6922770"/>
                            <a:ext cx="912046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6DA29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PROCESSUAL. ESTUDOS ESPECIAIS. LEGISLAÇÃO DISTRITAL. DECISÃO DO TCDF. INCENTIVO AO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57200" y="7070598"/>
                            <a:ext cx="912198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8A5F4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PAGAMENTO DE DÉBITOS E MULTAS. TRIBUNAL DE CONTAS DO DISTRITO FEDERAL. INICIATIVA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57200" y="7218426"/>
                            <a:ext cx="220900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C7BD9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LEGISLATIVA PRIVATIVA.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3683000" y="9030970"/>
                            <a:ext cx="270543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49367" w14:textId="77777777" w:rsidR="007A4BDC" w:rsidRDefault="00000000">
                              <w:hyperlink r:id="rId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Proc. nº 318/2022 - Dec. nº 387/202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5717159" y="90309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82930" w14:textId="77777777" w:rsidR="007A4BDC" w:rsidRDefault="00000000">
                              <w:hyperlink r:id="rId9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2" style="width:595pt;height:842pt;position:absolute;mso-position-horizontal-relative:page;mso-position-horizontal:absolute;margin-left:0pt;mso-position-vertical-relative:page;margin-top:-7.62939e-06pt;" coordsize="75565,106934">
                <v:shape id="Shape 1627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1628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8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0" style="position:absolute;width:90197;height:1874;left:5334;top:30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O Boletim de Jurisprudência do TCDF é uma publicação periódica elaborada pela Supervisão de</w:t>
                        </w:r>
                      </w:p>
                    </w:txbxContent>
                  </v:textbox>
                </v:rect>
                <v:rect id="Rectangle 11" style="position:absolute;width:90199;height:1874;left:5334;top:328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Sistemas de Informação, Legislação e Jurisprudência, da Coordenadoria de Biblioteca, Gestão da</w:t>
                        </w:r>
                      </w:p>
                    </w:txbxContent>
                  </v:textbox>
                </v:rect>
                <v:rect id="Rectangle 12" style="position:absolute;width:90197;height:1874;left:5334;top:3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Informação e do Conhecimento, com a finalidade de apresentar resumos das teses constantes em</w:t>
                        </w:r>
                      </w:p>
                    </w:txbxContent>
                  </v:textbox>
                </v:rect>
                <v:rect id="Rectangle 13" style="position:absolute;width:90193;height:1874;left:5334;top:37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decisões desta Corte que se enquadrem em critérios de relevância, reiteração, ineditismo ou</w:t>
                        </w:r>
                      </w:p>
                    </w:txbxContent>
                  </v:textbox>
                </v:rect>
                <v:rect id="Rectangle 14" style="position:absolute;width:11602;height:1874;left:5334;top:401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controvérsia.</w:t>
                        </w:r>
                      </w:p>
                    </w:txbxContent>
                  </v:textbox>
                </v:rect>
                <v:rect id="Rectangle 15" style="position:absolute;width:90197;height:1874;left:5334;top:42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Ressalta-se, todavia, que as informações aqui apresentadas não constituem resumo oficial das</w:t>
                        </w:r>
                      </w:p>
                    </w:txbxContent>
                  </v:textbox>
                </v:rect>
                <v:rect id="Rectangle 16" style="position:absolute;width:90194;height:1874;left:5334;top:449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decisões proferidas pelo Tribunal nem representam, necessariamente, o posicionamento</w:t>
                        </w:r>
                      </w:p>
                    </w:txbxContent>
                  </v:textbox>
                </v:rect>
                <v:rect id="Rectangle 17" style="position:absolute;width:41601;height:1874;left:5334;top:47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prevalecente na Corte sobre a matéria.</w:t>
                        </w:r>
                      </w:p>
                    </w:txbxContent>
                  </v:textbox>
                </v:rect>
                <v:rect id="Rectangle 18" style="position:absolute;width:90189;height:1874;left:5334;top:49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Este boletim informativo não substitui a publicação oficial das decisões. Para um exame mais</w:t>
                        </w:r>
                      </w:p>
                    </w:txbxContent>
                  </v:textbox>
                </v:rect>
                <v:rect id="Rectangle 19" style="position:absolute;width:90205;height:1874;left:5334;top:52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aprofundado da decisão, sugere-se o acesso aos documentos do processo por meio dos links</w:t>
                        </w:r>
                      </w:p>
                    </w:txbxContent>
                  </v:textbox>
                </v:rect>
                <v:rect id="Rectangle 20" style="position:absolute;width:26666;height:1874;left:5334;top:54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presentes em cada decisão.</w:t>
                        </w:r>
                      </w:p>
                    </w:txbxContent>
                  </v:textbox>
                </v:rect>
                <v:rect id="Rectangle 21" style="position:absolute;width:55989;height:1874;left:5334;top:57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Deseja receber os Boletins de Jurisprudência do Tribunal? </w:t>
                        </w:r>
                      </w:p>
                    </w:txbxContent>
                  </v:textbox>
                </v:rect>
                <v:rect id="Rectangle 1398" style="position:absolute;width:10138;height:1874;left:47431;top:57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0">
                          <w:r>
                            <w:rPr>
                              <w:rFonts w:cs="Arial" w:hAnsi="Arial" w:eastAsia="Arial" w:ascii="Arial"/>
                              <w:color w:val="0000ff"/>
                              <w:sz w:val="24"/>
                              <w:u w:val="single" w:color="0000ff"/>
                            </w:rPr>
                            <w:t xml:space="preserve">Clique aqui</w:t>
                          </w:r>
                        </w:hyperlink>
                      </w:p>
                    </w:txbxContent>
                  </v:textbox>
                </v:rect>
                <v:rect id="Rectangle 1397" style="position:absolute;width:563;height:1874;left:55054;top:57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0">
                          <w:r>
                            <w:rPr>
                              <w:rFonts w:cs="Arial" w:hAnsi="Arial" w:eastAsia="Arial" w:ascii="Arial"/>
                              <w:color w:val="0000ff"/>
                              <w:sz w:val="24"/>
                              <w:u w:val="single" w:color="0000ff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shape id="Picture 24" style="position:absolute;width:75565;height:9032;left:0;top:0;" filled="f">
                  <v:imagedata r:id="rId10"/>
                </v:shape>
                <v:shape id="Shape 1629" style="position:absolute;width:67818;height:7620;left:5080;top:17780;" coordsize="6781800,762000" path="m0,0l6781800,0l6781800,762000l0,762000l0,0">
                  <v:stroke weight="0pt" endcap="square" joinstyle="miter" miterlimit="10" on="false" color="#000000" opacity="0"/>
                  <v:fill on="true" color="#01447f"/>
                </v:shape>
                <v:rect id="Rectangle 26" style="position:absolute;width:44548;height:3281;left:5715;top:19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Boletim de Jurisprudência</w:t>
                        </w:r>
                      </w:p>
                    </w:txbxContent>
                  </v:textbox>
                </v:rect>
                <v:rect id="Rectangle 27" style="position:absolute;width:27319;height:3281;left:5715;top:22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Processual, nº 9</w:t>
                        </w:r>
                      </w:p>
                    </w:txbxContent>
                  </v:textbox>
                </v:rect>
                <v:shape id="Picture 1612" style="position:absolute;width:74828;height:9052;left:609;top:609;" filled="f">
                  <v:imagedata r:id="rId11"/>
                </v:shape>
                <v:rect id="Rectangle 30" style="position:absolute;width:34698;height:1874;left:5715;top:271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Sessões de janeiro a junho de 2023.</w:t>
                        </w:r>
                      </w:p>
                    </w:txbxContent>
                  </v:textbox>
                </v:rect>
                <v:shape id="Shape 31" style="position:absolute;width:36830;height:0;left:19050;top:65151;" coordsize="3683000,0" path="m0,0l3683000,0">
                  <v:stroke weight="1pt" endcap="flat" joinstyle="miter" miterlimit="10" on="true" color="#000000"/>
                  <v:fill on="false" color="#000000" opacity="0"/>
                </v:shape>
                <v:shape id="Shape 1630" style="position:absolute;width:3175;height:2540;left:635;top:68961;" coordsize="317500,254000" path="m0,0l317500,0l317500,254000l0,254000l0,0">
                  <v:stroke weight="0pt" endcap="square" joinstyle="miter" miterlimit="10" on="false" color="#000000" opacity="0"/>
                  <v:fill on="true" color="#01447f"/>
                </v:shape>
                <v:rect id="Rectangle 33" style="position:absolute;width:1314;height:2187;left:1728;top:69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4" style="position:absolute;width:91213;height:1562;left:4572;top:74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Estudos Especiais acerca da possibilidade de aplicação de legislação do Distrito Federal que venha a implementar</w:t>
                        </w:r>
                      </w:p>
                    </w:txbxContent>
                  </v:textbox>
                </v:rect>
                <v:rect id="Rectangle 35" style="position:absolute;width:91211;height:1562;left:4572;top:76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futuros Programas de Incentivos à Regularização Fiscal, nas situações de imputação de débitos e de multas oriundos de</w:t>
                        </w:r>
                      </w:p>
                    </w:txbxContent>
                  </v:textbox>
                </v:rect>
                <v:rect id="Rectangle 36" style="position:absolute;width:91209;height:1562;left:4572;top:77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decisões exaradas por esta Corte de Contas. O Tribunal, por unanimidade, fixou o entendimento quanto à</w:t>
                        </w:r>
                      </w:p>
                    </w:txbxContent>
                  </v:textbox>
                </v:rect>
                <v:rect id="Rectangle 37" style="position:absolute;width:91211;height:1562;left:4572;top:792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impossibilidade de legislação do Distrito Federal estabelecer incentivos ao pagamento de débitos e multas decorrentes</w:t>
                        </w:r>
                      </w:p>
                    </w:txbxContent>
                  </v:textbox>
                </v:rect>
                <v:rect id="Rectangle 38" style="position:absolute;width:91399;height:1562;left:4572;top:80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de decisões proferidas pelo Tribunal de Contas do Distrito Federal - TCDF sem a prévia iniciativa legislativa deste último,</w:t>
                        </w:r>
                      </w:p>
                    </w:txbxContent>
                  </v:textbox>
                </v:rect>
                <v:rect id="Rectangle 39" style="position:absolute;width:55140;height:1562;left:4572;top:82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ante a autonomia e a independência asseguradas à atuação do Tribunal.</w:t>
                        </w:r>
                      </w:p>
                    </w:txbxContent>
                  </v:textbox>
                </v:rect>
                <v:rect id="Rectangle 40" style="position:absolute;width:20556;height:1562;left:4572;top:90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Decisão por unanimidade</w:t>
                        </w:r>
                      </w:p>
                    </w:txbxContent>
                  </v:textbox>
                </v:rect>
                <v:rect id="Rectangle 41" style="position:absolute;width:23650;height:1562;left:4572;top:87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Antonio Renato Alves Rainha</w:t>
                        </w:r>
                      </w:p>
                    </w:txbxContent>
                  </v:textbox>
                </v:rect>
                <v:rect id="Rectangle 42" style="position:absolute;width:6381;height:1562;left:4572;top:8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Relator:</w:t>
                        </w:r>
                      </w:p>
                    </w:txbxContent>
                  </v:textbox>
                </v:rect>
                <v:rect id="Rectangle 43" style="position:absolute;width:6477;height:1562;left:36830;top:8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Sessão:</w:t>
                        </w:r>
                      </w:p>
                    </w:txbxContent>
                  </v:textbox>
                </v:rect>
                <v:rect id="Rectangle 44" style="position:absolute;width:28216;height:1562;left:36830;top:87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ORDINÁRIA nº 5329, de 15/02/2023.</w:t>
                        </w:r>
                      </w:p>
                    </w:txbxContent>
                  </v:textbox>
                </v:rect>
                <v:rect id="Rectangle 45" style="position:absolute;width:91204;height:1562;left:4572;top:69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PROCESSUAL. ESTUDOS ESPECIAIS. LEGISLAÇÃO DISTRITAL. DECISÃO DO TCDF. INCENTIVO AO</w:t>
                        </w:r>
                      </w:p>
                    </w:txbxContent>
                  </v:textbox>
                </v:rect>
                <v:rect id="Rectangle 46" style="position:absolute;width:91219;height:1562;left:4572;top:70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PAGAMENTO DE DÉBITOS E MULTAS. TRIBUNAL DE CONTAS DO DISTRITO FEDERAL. INICIATIVA</w:t>
                        </w:r>
                      </w:p>
                    </w:txbxContent>
                  </v:textbox>
                </v:rect>
                <v:rect id="Rectangle 47" style="position:absolute;width:22090;height:1562;left:4572;top:72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LEGISLATIVA PRIVATIVA.</w:t>
                        </w:r>
                      </w:p>
                    </w:txbxContent>
                  </v:textbox>
                </v:rect>
                <v:rect id="Rectangle 1400" style="position:absolute;width:27054;height:1562;left:36830;top:90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Proc. nº 318/2022 - Dec. nº 387/202</w:t>
                          </w:r>
                        </w:hyperlink>
                      </w:p>
                    </w:txbxContent>
                  </v:textbox>
                </v:rect>
                <v:rect id="Rectangle 1399" style="position:absolute;width:939;height:1562;left:57171;top:90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3</w:t>
                          </w:r>
                        </w:hyperlink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3700CEB6" w14:textId="77777777" w:rsidR="007A4BDC" w:rsidRDefault="00000000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04F8A4" wp14:editId="68C37F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1490" name="Group 1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1631" name="Shape 1631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26417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3500" y="254000"/>
                            <a:ext cx="3175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2540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72847" y="291440"/>
                            <a:ext cx="131480" cy="218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603F5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57200" y="991870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BA329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Consulta formulada pela Câmara Legislativa do Distrito Federal - CLDF acerca da necessidade de observância do teto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57200" y="1139698"/>
                            <a:ext cx="912130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7D63F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remuneratório constitucional quanto à base de cálculo de cada mês da conversão em pecúnia da licença-prêmio e 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57200" y="1287526"/>
                            <a:ext cx="912198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FC3D9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adicional de férias. Posteriormente, foram juntados aos autos documentos oriundos do Sindicato dos Servidores 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57200" y="1435354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E22C8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Poder Legislativo e do Tribunal de Contas do Distrito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Federal  Sindical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, mediante os quais solicita a habilitação nos autos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57200" y="1583182"/>
                            <a:ext cx="912063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FDB0A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de seu representante legal. O Tribunal, por unanimidade, esclareceu ao consulente que: a) independentemente 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57200" y="1731137"/>
                            <a:ext cx="913921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30BED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natureza das verbas que a compõem, deve-se aplicar o teto remuneratório à base de cálculo do adicional de férias,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57200" y="1878965"/>
                            <a:ext cx="911978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5D46B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excetuando-se apenas o abono pecuniário, conforme disposto no art. 91, § 3º, da LC nº 840/11; b) para fins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57200" y="2026793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F1AD0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conversão em pecúnia da licença-prêmio não gozada, deve-se aplicar o teto remuneratório constitucional sobre a base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57200" y="2174621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39107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de cálculo mensal, excetuando-se de tal cômputo as verbas indenizatórias previstas em lei (como o auxílio-alimentação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57200" y="2322449"/>
                            <a:ext cx="913992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7084A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o abono de permanência, p. ex.), nos termos do art. 37, § 11, da Constituição da República Federativa do Brasil - CRFB,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57200" y="2470277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69824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do art. 19, § 4º, da Lei Orgânica do Distrito Federal - LODF e dos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arts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 70, § 2º, e 101 da LC nº 840/2011. Em relação 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57200" y="2618105"/>
                            <a:ext cx="912114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6DFFE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solicitação do Sindical, indeferiu seu ingresso nos autos, visto que ele se daria na condição de amicus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curiae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e não parte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57200" y="2765933"/>
                            <a:ext cx="912164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5DF99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interessada, dada a natureza do processo de consulta, considerando já se contar, no processo, com manifestação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57200" y="2913761"/>
                            <a:ext cx="783674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836A0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suficiente ao esclarecimento da matéria, permitindo, desde logo, a incursão no mérito da consulta.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57200" y="3874771"/>
                            <a:ext cx="205563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E8B53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Decisão por unanimidade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7200" y="3633471"/>
                            <a:ext cx="248720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FCF6F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Manoel Paulo de Andrade Neto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7200" y="3442971"/>
                            <a:ext cx="638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CD22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Relator: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683000" y="3442971"/>
                            <a:ext cx="64777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203D8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Sessão: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683000" y="3633471"/>
                            <a:ext cx="28216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FD5AE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ORDINÁRIA nº 5329, de 15/02/2023.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44500" y="4192270"/>
                            <a:ext cx="187760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1491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Decisões relacionadas: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457200" y="4446270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AE506" w14:textId="77777777" w:rsidR="007A4BDC" w:rsidRDefault="00000000">
                              <w:hyperlink r:id="rId12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1177/201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2042287" y="44462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3C881" w14:textId="77777777" w:rsidR="007A4BDC" w:rsidRDefault="00000000">
                              <w:hyperlink r:id="rId13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7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457200" y="4700270"/>
                            <a:ext cx="201425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A1B2C" w14:textId="77777777" w:rsidR="007A4BDC" w:rsidRDefault="00000000">
                              <w:hyperlink r:id="rId1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956/202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1971675" y="47002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930BC" w14:textId="77777777" w:rsidR="007A4BDC" w:rsidRDefault="00000000">
                              <w:hyperlink r:id="rId1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457200" y="4954270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D52BE" w14:textId="77777777" w:rsidR="007A4BDC" w:rsidRDefault="00000000">
                              <w:hyperlink r:id="rId1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5205/201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2042287" y="49542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50120" w14:textId="77777777" w:rsidR="007A4BDC" w:rsidRDefault="00000000">
                              <w:hyperlink r:id="rId1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8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57200" y="5271770"/>
                            <a:ext cx="181172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28415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Precedentes externos: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457200" y="5525770"/>
                            <a:ext cx="208941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708C6" w14:textId="77777777" w:rsidR="007A4BDC" w:rsidRDefault="00000000">
                              <w:hyperlink r:id="rId1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Decisão STF nº ADI 5938 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2028190" y="5525770"/>
                            <a:ext cx="12195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D8A9F" w14:textId="77777777" w:rsidR="007A4BDC" w:rsidRDefault="00000000">
                              <w:hyperlink r:id="rId19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57200" y="5830570"/>
                            <a:ext cx="191510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85F16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Legislação relacionada: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457200" y="6084570"/>
                            <a:ext cx="331553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EEF78" w14:textId="77777777" w:rsidR="007A4BDC" w:rsidRDefault="00000000">
                              <w:hyperlink r:id="rId2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Complementar nº 840/2011, Art. 91, § 3º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2950083" y="60845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32D41" w14:textId="77777777" w:rsidR="007A4BDC" w:rsidRDefault="00000000">
                              <w:hyperlink r:id="rId2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457200" y="6351270"/>
                            <a:ext cx="322043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8F4E3" w14:textId="77777777" w:rsidR="007A4BDC" w:rsidRDefault="00000000">
                              <w:hyperlink r:id="rId22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Constituição Federal de 1988, Art. 37, § 11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2878582" y="63512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BF2D7" w14:textId="77777777" w:rsidR="007A4BDC" w:rsidRDefault="00000000">
                              <w:hyperlink r:id="rId23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2491359" y="66179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4E13B" w14:textId="77777777" w:rsidR="007A4BDC" w:rsidRDefault="00000000">
                              <w:hyperlink r:id="rId2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457200" y="6617970"/>
                            <a:ext cx="270543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C78C7" w14:textId="77777777" w:rsidR="007A4BDC" w:rsidRDefault="00000000">
                              <w:hyperlink r:id="rId2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Orgânica nº 0/1993, Art. 19, § 4º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" name="Rectangle 1481"/>
                        <wps:cNvSpPr/>
                        <wps:spPr>
                          <a:xfrm>
                            <a:off x="457200" y="6884670"/>
                            <a:ext cx="270543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784F6" w14:textId="77777777" w:rsidR="007A4BDC" w:rsidRDefault="00000000">
                              <w:hyperlink r:id="rId2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Orgânica nº 0/1993, Art. 70, § 2º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2491359" y="68846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FAAFA" w14:textId="77777777" w:rsidR="007A4BDC" w:rsidRDefault="00000000">
                              <w:hyperlink r:id="rId2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3" name="Rectangle 1483"/>
                        <wps:cNvSpPr/>
                        <wps:spPr>
                          <a:xfrm>
                            <a:off x="457200" y="7151370"/>
                            <a:ext cx="240899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70D71" w14:textId="77777777" w:rsidR="007A4BDC" w:rsidRDefault="00000000">
                              <w:hyperlink r:id="rId2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Orgânica nº 0/1993, Art. 101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2268474" y="71513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9159F" w14:textId="77777777" w:rsidR="007A4BDC" w:rsidRDefault="00000000">
                              <w:hyperlink r:id="rId29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" name="Rectangle 1485"/>
                        <wps:cNvSpPr/>
                        <wps:spPr>
                          <a:xfrm>
                            <a:off x="457200" y="7418070"/>
                            <a:ext cx="301909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E4B23" w14:textId="77777777" w:rsidR="007A4BDC" w:rsidRDefault="00000000">
                              <w:hyperlink r:id="rId3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Complementar nº 840/2011, Art. 139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" name="Rectangle 1484"/>
                        <wps:cNvSpPr/>
                        <wps:spPr>
                          <a:xfrm>
                            <a:off x="2727198" y="74180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A7C46" w14:textId="77777777" w:rsidR="007A4BDC" w:rsidRDefault="00000000">
                              <w:hyperlink r:id="rId3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" name="Rectangle 1487"/>
                        <wps:cNvSpPr/>
                        <wps:spPr>
                          <a:xfrm>
                            <a:off x="457200" y="7684770"/>
                            <a:ext cx="233366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D74E0" w14:textId="77777777" w:rsidR="007A4BDC" w:rsidRDefault="00000000">
                              <w:hyperlink r:id="rId32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Complementar nº 952/2019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6" name="Rectangle 1486"/>
                        <wps:cNvSpPr/>
                        <wps:spPr>
                          <a:xfrm>
                            <a:off x="2211832" y="76847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08128" w14:textId="77777777" w:rsidR="007A4BDC" w:rsidRDefault="00000000">
                              <w:hyperlink r:id="rId33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9" name="Rectangle 1489"/>
                        <wps:cNvSpPr/>
                        <wps:spPr>
                          <a:xfrm>
                            <a:off x="457200" y="7951470"/>
                            <a:ext cx="366703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A2431" w14:textId="77777777" w:rsidR="007A4BDC" w:rsidRDefault="00000000">
                              <w:hyperlink r:id="rId3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Complementar nº 840/2011, Art. 101, III E VII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8" name="Rectangle 1488"/>
                        <wps:cNvSpPr/>
                        <wps:spPr>
                          <a:xfrm>
                            <a:off x="3214370" y="79514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99FB1" w14:textId="77777777" w:rsidR="007A4BDC" w:rsidRDefault="00000000">
                              <w:hyperlink r:id="rId3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57200" y="280670"/>
                            <a:ext cx="912097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6D900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PESSOAL. CONSULTA. LICENÇA-PRÊMIO. ADICIONAL DE FÉRIAS. CONVERSÃO EM PECÚNIA. BASE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530725" y="428498"/>
                            <a:ext cx="15201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1A988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APLICABILIDADE.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6496939" y="428498"/>
                            <a:ext cx="110737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E80C1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PECUNIÁRIO.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3166618" y="428498"/>
                            <a:ext cx="160464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413D9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CONSTITUCIONAL.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5831332" y="428498"/>
                            <a:ext cx="67564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6E42F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ABONO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457200" y="428498"/>
                            <a:ext cx="91954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57D96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CÁLCULO.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306195" y="428498"/>
                            <a:ext cx="49744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425CB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TETO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837817" y="428498"/>
                            <a:ext cx="155768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BCB96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REMUNERATÓRIO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57200" y="576326"/>
                            <a:ext cx="912181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28A4C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EXCEPCIONALIDADE. PROCESSUAL.  AMICUS CURIAE. PROCESSO DE CONSULTA. AUSÊNCIA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57200" y="724154"/>
                            <a:ext cx="235747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C45E6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LEGITIMIDADE RECURSAL.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683000" y="3874771"/>
                            <a:ext cx="289325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D038F" w14:textId="77777777" w:rsidR="007A4BDC" w:rsidRDefault="00000000">
                              <w:hyperlink r:id="rId3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Proc. nº 10972/2022 - Dec. nº 491/202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5858383" y="38747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2C2B1" w14:textId="77777777" w:rsidR="007A4BDC" w:rsidRDefault="00000000">
                              <w:hyperlink r:id="rId3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Shape 115"/>
                        <wps:cNvSpPr/>
                        <wps:spPr>
                          <a:xfrm>
                            <a:off x="635000" y="825500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438275" y="10034270"/>
                            <a:ext cx="614004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1BA8A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Coordenadoria de Biblioteca, Gestão da Informação e do Conhecimento – COBGI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657223" y="10182098"/>
                            <a:ext cx="555764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6E030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Supervisão de Sistemas de Informação, Legislação e Jurisprudência - SSI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702054" y="10329926"/>
                            <a:ext cx="79776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25352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Telefone: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3805682" y="10329926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28970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2301875" y="10329926"/>
                            <a:ext cx="200006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D6548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(61) 3314-2226/2593/2259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840988" y="10329926"/>
                            <a:ext cx="53510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7047E" w14:textId="77777777" w:rsidR="007A4BDC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email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243324" y="10329926"/>
                            <a:ext cx="205833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386AA" w14:textId="77777777" w:rsidR="007A4BDC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jurisprudencia@tc.df.gov.br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0" style="width:595pt;height:842pt;position:absolute;mso-position-horizontal-relative:page;mso-position-horizontal:absolute;margin-left:0pt;mso-position-vertical-relative:page;margin-top:0pt;" coordsize="75565,106934">
                <v:shape id="Shape 1634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1635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60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2</w:t>
                        </w:r>
                      </w:p>
                    </w:txbxContent>
                  </v:textbox>
                </v:rect>
                <v:shape id="Shape 1636" style="position:absolute;width:3175;height:2540;left:635;top:2540;" coordsize="317500,254000" path="m0,0l317500,0l317500,254000l0,254000l0,0">
                  <v:stroke weight="0pt" endcap="square" joinstyle="miter" miterlimit="10" on="false" color="#000000" opacity="0"/>
                  <v:fill on="true" color="#01447f"/>
                </v:shape>
                <v:rect id="Rectangle 62" style="position:absolute;width:1314;height:2187;left:1728;top:2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3" style="position:absolute;width:91211;height:1562;left:4572;top:9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Consulta formulada pela Câmara Legislativa do Distrito Federal - CLDF acerca da necessidade de observância do teto</w:t>
                        </w:r>
                      </w:p>
                    </w:txbxContent>
                  </v:textbox>
                </v:rect>
                <v:rect id="Rectangle 64" style="position:absolute;width:91213;height:1562;left:4572;top:11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remuneratório constitucional quanto à base de cálculo de cada mês da conversão em pecúnia da licença-prêmio e do</w:t>
                        </w:r>
                      </w:p>
                    </w:txbxContent>
                  </v:textbox>
                </v:rect>
                <v:rect id="Rectangle 65" style="position:absolute;width:91219;height:1562;left:4572;top:12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adicional de férias. Posteriormente, foram juntados aos autos documentos oriundos do Sindicato dos Servidores do</w:t>
                        </w:r>
                      </w:p>
                    </w:txbxContent>
                  </v:textbox>
                </v:rect>
                <v:rect id="Rectangle 66" style="position:absolute;width:91211;height:1562;left:4572;top:14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Poder Legislativo e do Tribunal de Contas do Distrito Federal  Sindical, mediante os quais solicita a habilitação nos autos</w:t>
                        </w:r>
                      </w:p>
                    </w:txbxContent>
                  </v:textbox>
                </v:rect>
                <v:rect id="Rectangle 67" style="position:absolute;width:91206;height:1562;left:4572;top:158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de seu representante legal. O Tribunal, por unanimidade, esclareceu ao consulente que: a) independentemente da</w:t>
                        </w:r>
                      </w:p>
                    </w:txbxContent>
                  </v:textbox>
                </v:rect>
                <v:rect id="Rectangle 68" style="position:absolute;width:91392;height:1562;left:4572;top:17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natureza das verbas que a compõem, deve-se aplicar o teto remuneratório à base de cálculo do adicional de férias,</w:t>
                        </w:r>
                      </w:p>
                    </w:txbxContent>
                  </v:textbox>
                </v:rect>
                <v:rect id="Rectangle 69" style="position:absolute;width:91197;height:1562;left:4572;top:187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excetuando-se apenas o abono pecuniário, conforme disposto no art. 91, § 3º, da LC nº 840/11; b) para fins de</w:t>
                        </w:r>
                      </w:p>
                    </w:txbxContent>
                  </v:textbox>
                </v:rect>
                <v:rect id="Rectangle 70" style="position:absolute;width:91211;height:1562;left:4572;top:20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conversão em pecúnia da licença-prêmio não gozada, deve-se aplicar o teto remuneratório constitucional sobre a base</w:t>
                        </w:r>
                      </w:p>
                    </w:txbxContent>
                  </v:textbox>
                </v:rect>
                <v:rect id="Rectangle 71" style="position:absolute;width:91211;height:1562;left:4572;top:217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de cálculo mensal, excetuando-se de tal cômputo as verbas indenizatórias previstas em lei (como o auxílio-alimentação e</w:t>
                        </w:r>
                      </w:p>
                    </w:txbxContent>
                  </v:textbox>
                </v:rect>
                <v:rect id="Rectangle 72" style="position:absolute;width:91399;height:1562;left:4572;top:23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o abono de permanência, p. ex.), nos termos do art. 37, § 11, da Constituição da República Federativa do Brasil - CRFB,</w:t>
                        </w:r>
                      </w:p>
                    </w:txbxContent>
                  </v:textbox>
                </v:rect>
                <v:rect id="Rectangle 73" style="position:absolute;width:91211;height:1562;left:4572;top:24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do art. 19, § 4º, da Lei Orgânica do Distrito Federal - LODF e dos arts. 70, § 2º, e 101 da LC nº 840/2011. Em relação à</w:t>
                        </w:r>
                      </w:p>
                    </w:txbxContent>
                  </v:textbox>
                </v:rect>
                <v:rect id="Rectangle 74" style="position:absolute;width:91211;height:1562;left:4572;top:26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solicitação do Sindical, indeferiu seu ingresso nos autos, visto que ele se daria na condição de amicus curiae e não parte</w:t>
                        </w:r>
                      </w:p>
                    </w:txbxContent>
                  </v:textbox>
                </v:rect>
                <v:rect id="Rectangle 75" style="position:absolute;width:91216;height:1562;left:4572;top:27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interessada, dada a natureza do processo de consulta, considerando já se contar, no processo, com manifestação</w:t>
                        </w:r>
                      </w:p>
                    </w:txbxContent>
                  </v:textbox>
                </v:rect>
                <v:rect id="Rectangle 76" style="position:absolute;width:78367;height:1562;left:4572;top:29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suficiente ao esclarecimento da matéria, permitindo, desde logo, a incursão no mérito da consulta.</w:t>
                        </w:r>
                      </w:p>
                    </w:txbxContent>
                  </v:textbox>
                </v:rect>
                <v:rect id="Rectangle 77" style="position:absolute;width:20556;height:1562;left:4572;top:38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Decisão por unanimidade</w:t>
                        </w:r>
                      </w:p>
                    </w:txbxContent>
                  </v:textbox>
                </v:rect>
                <v:rect id="Rectangle 78" style="position:absolute;width:24872;height:1562;left:4572;top:36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Manoel Paulo de Andrade Neto</w:t>
                        </w:r>
                      </w:p>
                    </w:txbxContent>
                  </v:textbox>
                </v:rect>
                <v:rect id="Rectangle 79" style="position:absolute;width:6381;height:1562;left:4572;top:34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Relator:</w:t>
                        </w:r>
                      </w:p>
                    </w:txbxContent>
                  </v:textbox>
                </v:rect>
                <v:rect id="Rectangle 80" style="position:absolute;width:6477;height:1562;left:36830;top:34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Sessão:</w:t>
                        </w:r>
                      </w:p>
                    </w:txbxContent>
                  </v:textbox>
                </v:rect>
                <v:rect id="Rectangle 81" style="position:absolute;width:28216;height:1562;left:36830;top:36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ORDINÁRIA nº 5329, de 15/02/2023.</w:t>
                        </w:r>
                      </w:p>
                    </w:txbxContent>
                  </v:textbox>
                </v:rect>
                <v:rect id="Rectangle 82" style="position:absolute;width:18776;height:1562;left:4445;top:41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Decisões relacionadas:</w:t>
                        </w:r>
                      </w:p>
                    </w:txbxContent>
                  </v:textbox>
                </v:rect>
                <v:rect id="Rectangle 1467" style="position:absolute;width:21081;height:1562;left:4572;top:44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1177/201</w:t>
                          </w:r>
                        </w:hyperlink>
                      </w:p>
                    </w:txbxContent>
                  </v:textbox>
                </v:rect>
                <v:rect id="Rectangle 1466" style="position:absolute;width:939;height:1562;left:20422;top:44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7</w:t>
                          </w:r>
                        </w:hyperlink>
                      </w:p>
                    </w:txbxContent>
                  </v:textbox>
                </v:rect>
                <v:rect id="Rectangle 1469" style="position:absolute;width:20142;height:1562;left:4572;top:47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956/202</w:t>
                          </w:r>
                        </w:hyperlink>
                      </w:p>
                    </w:txbxContent>
                  </v:textbox>
                </v:rect>
                <v:rect id="Rectangle 1468" style="position:absolute;width:939;height:1562;left:19716;top:47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1</w:t>
                          </w:r>
                        </w:hyperlink>
                      </w:p>
                    </w:txbxContent>
                  </v:textbox>
                </v:rect>
                <v:rect id="Rectangle 1471" style="position:absolute;width:21081;height:1562;left:4572;top:49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5205/201</w:t>
                          </w:r>
                        </w:hyperlink>
                      </w:p>
                    </w:txbxContent>
                  </v:textbox>
                </v:rect>
                <v:rect id="Rectangle 1470" style="position:absolute;width:939;height:1562;left:20422;top:49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8</w:t>
                          </w:r>
                        </w:hyperlink>
                      </w:p>
                    </w:txbxContent>
                  </v:textbox>
                </v:rect>
                <v:rect id="Rectangle 89" style="position:absolute;width:18117;height:1562;left:4572;top:52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Precedentes externos:</w:t>
                        </w:r>
                      </w:p>
                    </w:txbxContent>
                  </v:textbox>
                </v:rect>
                <v:rect id="Rectangle 1473" style="position:absolute;width:20894;height:1562;left:4572;top:55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Decisão STF nº ADI 5938 E</w:t>
                          </w:r>
                        </w:hyperlink>
                      </w:p>
                    </w:txbxContent>
                  </v:textbox>
                </v:rect>
                <v:rect id="Rectangle 1472" style="position:absolute;width:1219;height:1562;left:20281;top:55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</w:t>
                          </w:r>
                        </w:hyperlink>
                      </w:p>
                    </w:txbxContent>
                  </v:textbox>
                </v:rect>
                <v:rect id="Rectangle 92" style="position:absolute;width:19151;height:1562;left:4572;top:58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Legislação relacionada:</w:t>
                        </w:r>
                      </w:p>
                    </w:txbxContent>
                  </v:textbox>
                </v:rect>
                <v:rect id="Rectangle 1475" style="position:absolute;width:33155;height:1562;left:4572;top:60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Complementar nº 840/2011, Art. 91, § 3º</w:t>
                          </w:r>
                        </w:hyperlink>
                      </w:p>
                    </w:txbxContent>
                  </v:textbox>
                </v:rect>
                <v:rect id="Rectangle 1474" style="position:absolute;width:469;height:1562;left:29500;top:60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477" style="position:absolute;width:32204;height:1562;left:4572;top:63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Constituição Federal de 1988, Art. 37, § 11</w:t>
                          </w:r>
                        </w:hyperlink>
                      </w:p>
                    </w:txbxContent>
                  </v:textbox>
                </v:rect>
                <v:rect id="Rectangle 1476" style="position:absolute;width:469;height:1562;left:28785;top:63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478" style="position:absolute;width:469;height:1562;left:24913;top:66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479" style="position:absolute;width:27054;height:1562;left:4572;top:66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Orgânica nº 0/1993, Art. 19, § 4º</w:t>
                          </w:r>
                        </w:hyperlink>
                      </w:p>
                    </w:txbxContent>
                  </v:textbox>
                </v:rect>
                <v:rect id="Rectangle 1481" style="position:absolute;width:27054;height:1562;left:4572;top:6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Orgânica nº 0/1993, Art. 70, § 2º</w:t>
                          </w:r>
                        </w:hyperlink>
                      </w:p>
                    </w:txbxContent>
                  </v:textbox>
                </v:rect>
                <v:rect id="Rectangle 1480" style="position:absolute;width:469;height:1562;left:24913;top:6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483" style="position:absolute;width:24089;height:1562;left:4572;top:71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0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Orgânica nº 0/1993, Art. 101</w:t>
                          </w:r>
                        </w:hyperlink>
                      </w:p>
                    </w:txbxContent>
                  </v:textbox>
                </v:rect>
                <v:rect id="Rectangle 1482" style="position:absolute;width:469;height:1562;left:22684;top:71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0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485" style="position:absolute;width:30190;height:1562;left:4572;top:74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Complementar nº 840/2011, Art. 139</w:t>
                          </w:r>
                        </w:hyperlink>
                      </w:p>
                    </w:txbxContent>
                  </v:textbox>
                </v:rect>
                <v:rect id="Rectangle 1484" style="position:absolute;width:469;height:1562;left:27271;top:74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487" style="position:absolute;width:23336;height:1562;left:4572;top:76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Complementar nº 952/2019</w:t>
                          </w:r>
                        </w:hyperlink>
                      </w:p>
                    </w:txbxContent>
                  </v:textbox>
                </v:rect>
                <v:rect id="Rectangle 1486" style="position:absolute;width:469;height:1562;left:22118;top:76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489" style="position:absolute;width:36670;height:1562;left:4572;top:79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Complementar nº 840/2011, Art. 101, III E VII</w:t>
                          </w:r>
                        </w:hyperlink>
                      </w:p>
                    </w:txbxContent>
                  </v:textbox>
                </v:rect>
                <v:rect id="Rectangle 1488" style="position:absolute;width:469;height:1562;left:32143;top:79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09" style="position:absolute;width:91209;height:1562;left:4572;top:2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PESSOAL. CONSULTA. LICENÇA-PRÊMIO. ADICIONAL DE FÉRIAS. CONVERSÃO EM PECÚNIA. BASE DE</w:t>
                        </w:r>
                      </w:p>
                    </w:txbxContent>
                  </v:textbox>
                </v:rect>
                <v:rect id="Rectangle 241" style="position:absolute;width:15201;height:1562;left:45307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APLICABILIDADE. </w:t>
                        </w:r>
                      </w:p>
                    </w:txbxContent>
                  </v:textbox>
                </v:rect>
                <v:rect id="Rectangle 243" style="position:absolute;width:11073;height:1562;left:64969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PECUNIÁRIO.</w:t>
                        </w:r>
                      </w:p>
                    </w:txbxContent>
                  </v:textbox>
                </v:rect>
                <v:rect id="Rectangle 240" style="position:absolute;width:16046;height:1562;left:31666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CONSTITUCIONAL. </w:t>
                        </w:r>
                      </w:p>
                    </w:txbxContent>
                  </v:textbox>
                </v:rect>
                <v:rect id="Rectangle 242" style="position:absolute;width:6756;height:1562;left:58313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ABONO </w:t>
                        </w:r>
                      </w:p>
                    </w:txbxContent>
                  </v:textbox>
                </v:rect>
                <v:rect id="Rectangle 237" style="position:absolute;width:9195;height:1562;left:4572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CÁLCULO. </w:t>
                        </w:r>
                      </w:p>
                    </w:txbxContent>
                  </v:textbox>
                </v:rect>
                <v:rect id="Rectangle 238" style="position:absolute;width:4974;height:1562;left:13061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TETO </w:t>
                        </w:r>
                      </w:p>
                    </w:txbxContent>
                  </v:textbox>
                </v:rect>
                <v:rect id="Rectangle 239" style="position:absolute;width:15576;height:1562;left:18378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REMUNERATÓRIO </w:t>
                        </w:r>
                      </w:p>
                    </w:txbxContent>
                  </v:textbox>
                </v:rect>
                <v:rect id="Rectangle 111" style="position:absolute;width:91218;height:1562;left:4572;top:5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EXCEPCIONALIDADE. PROCESSUAL.  AMICUS CURIAE. PROCESSO DE CONSULTA. AUSÊNCIA DE</w:t>
                        </w:r>
                      </w:p>
                    </w:txbxContent>
                  </v:textbox>
                </v:rect>
                <v:rect id="Rectangle 112" style="position:absolute;width:23574;height:1562;left:4572;top:7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LEGITIMIDADE RECURSAL.</w:t>
                        </w:r>
                      </w:p>
                    </w:txbxContent>
                  </v:textbox>
                </v:rect>
                <v:rect id="Rectangle 1465" style="position:absolute;width:28932;height:1562;left:36830;top:38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Proc. nº 10972/2022 - Dec. nº 491/202</w:t>
                          </w:r>
                        </w:hyperlink>
                      </w:p>
                    </w:txbxContent>
                  </v:textbox>
                </v:rect>
                <v:rect id="Rectangle 1464" style="position:absolute;width:939;height:1562;left:58583;top:38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3</w:t>
                          </w:r>
                        </w:hyperlink>
                      </w:p>
                    </w:txbxContent>
                  </v:textbox>
                </v:rect>
                <v:shape id="Shape 115" style="position:absolute;width:63500;height:0;left:6350;top:82550;" coordsize="6350000,0" path="m0,0l6350000,0">
                  <v:stroke weight="1pt" endcap="flat" joinstyle="miter" miterlimit="10" on="true" color="#000000"/>
                  <v:fill on="false" color="#000000" opacity="0"/>
                </v:shape>
                <v:rect id="Rectangle 116" style="position:absolute;width:61400;height:1562;left:14382;top:100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Coordenadoria de Biblioteca, Gestão da Informação e do Conhecimento – COBGI</w:t>
                        </w:r>
                      </w:p>
                    </w:txbxContent>
                  </v:textbox>
                </v:rect>
                <v:rect id="Rectangle 117" style="position:absolute;width:55576;height:1562;left:16572;top:101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Supervisão de Sistemas de Informação, Legislação e Jurisprudência - SSI</w:t>
                        </w:r>
                      </w:p>
                    </w:txbxContent>
                  </v:textbox>
                </v:rect>
                <v:rect id="Rectangle 118" style="position:absolute;width:7977;height:1562;left:17020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Telefone: </w:t>
                        </w:r>
                      </w:p>
                    </w:txbxContent>
                  </v:textbox>
                </v:rect>
                <v:rect id="Rectangle 1396" style="position:absolute;width:469;height:1562;left:38056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5" style="position:absolute;width:20000;height:1562;left:23018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(61) 3314-2226/2593/2259</w:t>
                        </w:r>
                      </w:p>
                    </w:txbxContent>
                  </v:textbox>
                </v:rect>
                <v:rect id="Rectangle 120" style="position:absolute;width:5351;height:1562;left:38409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email: </w:t>
                        </w:r>
                      </w:p>
                    </w:txbxContent>
                  </v:textbox>
                </v:rect>
                <v:rect id="Rectangle 121" style="position:absolute;width:20583;height:1562;left:42433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jurisprudencia@tc.df.gov.br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7A4BDC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BDC"/>
    <w:rsid w:val="007A4BDC"/>
    <w:rsid w:val="00CD2977"/>
    <w:rsid w:val="00E0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86DA"/>
  <w15:docId w15:val="{B073AD58-D486-4A00-927E-696BCDC5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tcdf.tc.df.gov.br/?a=consultaETCDF&amp;f=formPrincipal&amp;edoc=F5384E11" TargetMode="External"/><Relationship Id="rId18" Type="http://schemas.openxmlformats.org/officeDocument/2006/relationships/hyperlink" Target="https://redir.stf.jus.br/paginadorpub/paginador.jsp?docTP=TP&amp;docID=751490352" TargetMode="External"/><Relationship Id="rId26" Type="http://schemas.openxmlformats.org/officeDocument/2006/relationships/hyperlink" Target="http://www.sinj.df.gov.br/sinj/Norma/66634/Lei_Org_nica__08_06_1993.html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sinj.df.gov.br/sinj/DetalhesDeNorma.aspx?id_norma=70196" TargetMode="External"/><Relationship Id="rId34" Type="http://schemas.openxmlformats.org/officeDocument/2006/relationships/hyperlink" Target="http://www.sinj.df.gov.br/sinj/DetalhesDeNorma.aspx?id_norma=70196" TargetMode="External"/><Relationship Id="hyperlink126" Type="http://schemas.openxmlformats.org/officeDocument/2006/relationships/hyperlink" Target="http://www.sinj.df.gov.br/sinj/DetalhesDeNorma.aspx?id_norma=70196" TargetMode="External"/><Relationship Id="hyperlink134" Type="http://schemas.openxmlformats.org/officeDocument/2006/relationships/hyperlink" Target="https://etcdf.tc.df.gov.br/?a=consultaETCDF&amp;f=formPrincipal&amp;edoc=7E5AB7C6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etcdf.tc.df.gov.br/?a=consultaETCDF&amp;f=formPrincipal&amp;edoc=F5384E11" TargetMode="External"/><Relationship Id="rId17" Type="http://schemas.openxmlformats.org/officeDocument/2006/relationships/hyperlink" Target="https://etcdf.tc.df.gov.br/?a=consultaETCDF&amp;f=formPrincipal&amp;edoc=D07D71E3" TargetMode="External"/><Relationship Id="rId25" Type="http://schemas.openxmlformats.org/officeDocument/2006/relationships/hyperlink" Target="http://www.sinj.df.gov.br/sinj/Norma/66634/Lei_Org_nica__08_06_1993.html" TargetMode="External"/><Relationship Id="rId33" Type="http://schemas.openxmlformats.org/officeDocument/2006/relationships/hyperlink" Target="http://www.sinj.df.gov.br/sinj/DetalhesDeNorma.aspx?id_norma=6399408c1b0a4dbb8423491903831c13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hyperlink51" Type="http://schemas.openxmlformats.org/officeDocument/2006/relationships/hyperlink" Target="https://etcdf.tc.df.gov.br/?a=consultaETCDF&amp;f=formPrincipal&amp;edoc=0DDF7003" TargetMode="External"/><Relationship Id="rId16" Type="http://schemas.openxmlformats.org/officeDocument/2006/relationships/hyperlink" Target="https://etcdf.tc.df.gov.br/?a=consultaETCDF&amp;f=formPrincipal&amp;edoc=D07D71E3" TargetMode="External"/><Relationship Id="rId20" Type="http://schemas.openxmlformats.org/officeDocument/2006/relationships/hyperlink" Target="http://www.sinj.df.gov.br/sinj/DetalhesDeNorma.aspx?id_norma=70196" TargetMode="External"/><Relationship Id="rId29" Type="http://schemas.openxmlformats.org/officeDocument/2006/relationships/hyperlink" Target="http://www.sinj.df.gov.br/sinj/Norma/66634/Lei_Org_nica__08_06_1993.html" TargetMode="External"/><Relationship Id="hyperlink125" Type="http://schemas.openxmlformats.org/officeDocument/2006/relationships/hyperlink" Target="https://redir.stf.jus.br/paginadorpub/paginador.jsp?docTP=TP&amp;docID=751490352" TargetMode="External"/><Relationship Id="hyperlink133" Type="http://schemas.openxmlformats.org/officeDocument/2006/relationships/hyperlink" Target="http://www.sinj.df.gov.br/sinj/DetalhesDeNorma.aspx?id_norma=70196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hyperlink50" Type="http://schemas.openxmlformats.org/officeDocument/2006/relationships/hyperlink" Target="https://jurisprudencia.tc.df.gov.br/solicitacao-de-boletim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://www.sinj.df.gov.br/sinj/Norma/66634/Lei_Org_nica__08_06_1993.html" TargetMode="External"/><Relationship Id="rId32" Type="http://schemas.openxmlformats.org/officeDocument/2006/relationships/hyperlink" Target="http://www.sinj.df.gov.br/sinj/DetalhesDeNorma.aspx?id_norma=6399408c1b0a4dbb8423491903831c13" TargetMode="External"/><Relationship Id="rId37" Type="http://schemas.openxmlformats.org/officeDocument/2006/relationships/hyperlink" Target="https://etcdf.tc.df.gov.br/?a=consultaETCDF&amp;f=formPrincipal&amp;edoc=7E5AB7C6" TargetMode="External"/><Relationship Id="hyperlink124" Type="http://schemas.openxmlformats.org/officeDocument/2006/relationships/hyperlink" Target="https://etcdf.tc.df.gov.br/?a=consultaETCDF&amp;f=formPrincipal&amp;edoc=D07D71E3" TargetMode="External"/><Relationship Id="hyperlink129" Type="http://schemas.openxmlformats.org/officeDocument/2006/relationships/hyperlink" Target="http://www.sinj.df.gov.br/sinj/Norma/66634/Lei_Org_nica__08_06_1993.html" TargetMode="External"/><Relationship Id="rId5" Type="http://schemas.openxmlformats.org/officeDocument/2006/relationships/hyperlink" Target="https://jurisprudencia.tc.df.gov.br/solicitacao-de-boletim/" TargetMode="External"/><Relationship Id="rId15" Type="http://schemas.openxmlformats.org/officeDocument/2006/relationships/hyperlink" Target="https://etcdf.tc.df.gov.br/?a=consultaETCDF&amp;f=formPrincipal&amp;edoc=80DCA21C" TargetMode="External"/><Relationship Id="rId23" Type="http://schemas.openxmlformats.org/officeDocument/2006/relationships/hyperlink" Target="http://www.planalto.gov.br/ccivil_03/constituicao/constituicaocompilado.htm" TargetMode="External"/><Relationship Id="rId28" Type="http://schemas.openxmlformats.org/officeDocument/2006/relationships/hyperlink" Target="http://www.sinj.df.gov.br/sinj/Norma/66634/Lei_Org_nica__08_06_1993.html" TargetMode="External"/><Relationship Id="rId36" Type="http://schemas.openxmlformats.org/officeDocument/2006/relationships/hyperlink" Target="https://etcdf.tc.df.gov.br/?a=consultaETCDF&amp;f=formPrincipal&amp;edoc=7E5AB7C6" TargetMode="External"/><Relationship Id="hyperlink128" Type="http://schemas.openxmlformats.org/officeDocument/2006/relationships/hyperlink" Target="http://www.sinj.df.gov.br/sinj/Norma/66634/Lei_Org_nica__08_06_1993.html" TargetMode="External"/><Relationship Id="hyperlink132" Type="http://schemas.openxmlformats.org/officeDocument/2006/relationships/hyperlink" Target="http://www.sinj.df.gov.br/sinj/DetalhesDeNorma.aspx?id_norma=6399408c1b0a4dbb8423491903831c13" TargetMode="External"/><Relationship Id="rId10" Type="http://schemas.openxmlformats.org/officeDocument/2006/relationships/image" Target="media/image0.jpg"/><Relationship Id="rId19" Type="http://schemas.openxmlformats.org/officeDocument/2006/relationships/hyperlink" Target="https://redir.stf.jus.br/paginadorpub/paginador.jsp?docTP=TP&amp;docID=751490352" TargetMode="External"/><Relationship Id="rId31" Type="http://schemas.openxmlformats.org/officeDocument/2006/relationships/hyperlink" Target="http://www.sinj.df.gov.br/sinj/DetalhesDeNorma.aspx?id_norma=70196" TargetMode="External"/><Relationship Id="hyperlink123" Type="http://schemas.openxmlformats.org/officeDocument/2006/relationships/hyperlink" Target="https://etcdf.tc.df.gov.br/?a=consultaETCDF&amp;f=formPrincipal&amp;edoc=80DCA21C" TargetMode="External"/><Relationship Id="hyperlink131" Type="http://schemas.openxmlformats.org/officeDocument/2006/relationships/hyperlink" Target="http://www.sinj.df.gov.br/sinj/DetalhesDeNorma.aspx?id_norma=70196" TargetMode="External"/><Relationship Id="rId4" Type="http://schemas.openxmlformats.org/officeDocument/2006/relationships/hyperlink" Target="https://jurisprudencia.tc.df.gov.br/solicitacao-de-boletim/" TargetMode="External"/><Relationship Id="rId9" Type="http://schemas.openxmlformats.org/officeDocument/2006/relationships/hyperlink" Target="https://etcdf.tc.df.gov.br/?a=consultaETCDF&amp;f=formPrincipal&amp;edoc=0DDF7003" TargetMode="External"/><Relationship Id="rId14" Type="http://schemas.openxmlformats.org/officeDocument/2006/relationships/hyperlink" Target="https://etcdf.tc.df.gov.br/?a=consultaETCDF&amp;f=formPrincipal&amp;edoc=80DCA21C" TargetMode="External"/><Relationship Id="rId22" Type="http://schemas.openxmlformats.org/officeDocument/2006/relationships/hyperlink" Target="http://www.planalto.gov.br/ccivil_03/constituicao/constituicaocompilado.htm" TargetMode="External"/><Relationship Id="rId27" Type="http://schemas.openxmlformats.org/officeDocument/2006/relationships/hyperlink" Target="http://www.sinj.df.gov.br/sinj/Norma/66634/Lei_Org_nica__08_06_1993.html" TargetMode="External"/><Relationship Id="rId30" Type="http://schemas.openxmlformats.org/officeDocument/2006/relationships/hyperlink" Target="http://www.sinj.df.gov.br/sinj/DetalhesDeNorma.aspx?id_norma=70196" TargetMode="External"/><Relationship Id="rId35" Type="http://schemas.openxmlformats.org/officeDocument/2006/relationships/hyperlink" Target="http://www.sinj.df.gov.br/sinj/DetalhesDeNorma.aspx?id_norma=70196" TargetMode="External"/><Relationship Id="hyperlink127" Type="http://schemas.openxmlformats.org/officeDocument/2006/relationships/hyperlink" Target="http://www.planalto.gov.br/ccivil_03/constituicao/constituicaocompilado.htm" TargetMode="External"/><Relationship Id="rId8" Type="http://schemas.openxmlformats.org/officeDocument/2006/relationships/hyperlink" Target="https://etcdf.tc.df.gov.br/?a=consultaETCDF&amp;f=formPrincipal&amp;edoc=0DDF7003" TargetMode="External"/><Relationship Id="hyperlink122" Type="http://schemas.openxmlformats.org/officeDocument/2006/relationships/hyperlink" Target="https://etcdf.tc.df.gov.br/?a=consultaETCDF&amp;f=formPrincipal&amp;edoc=F5384E11" TargetMode="External"/><Relationship Id="hyperlink130" Type="http://schemas.openxmlformats.org/officeDocument/2006/relationships/hyperlink" Target="http://www.sinj.df.gov.br/sinj/Norma/66634/Lei_Org_nica__08_06_1993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 Teles De Araújo</dc:creator>
  <cp:keywords/>
  <cp:lastModifiedBy>Kamili Teles De Araújo</cp:lastModifiedBy>
  <cp:revision>2</cp:revision>
  <dcterms:created xsi:type="dcterms:W3CDTF">2026-08-26T20:17:00Z</dcterms:created>
  <dcterms:modified xsi:type="dcterms:W3CDTF">2026-08-26T20:17:00Z</dcterms:modified>
</cp:coreProperties>
</file>