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9475B" w14:textId="77777777" w:rsidR="00257A3E" w:rsidRDefault="00000000">
      <w:pPr>
        <w:spacing w:after="676" w:line="259" w:lineRule="auto"/>
        <w:ind w:left="0" w:right="0" w:firstLine="0"/>
        <w:jc w:val="left"/>
      </w:pPr>
      <w:r>
        <w:rPr>
          <w:rFonts w:ascii="Calibri" w:eastAsia="Calibri" w:hAnsi="Calibri" w:cs="Calibri"/>
          <w:noProof/>
          <w:sz w:val="22"/>
        </w:rPr>
        <mc:AlternateContent>
          <mc:Choice Requires="wpg">
            <w:drawing>
              <wp:inline distT="0" distB="0" distL="0" distR="0" wp14:anchorId="592138A5" wp14:editId="6A86F020">
                <wp:extent cx="7048500" cy="741680"/>
                <wp:effectExtent l="0" t="0" r="0" b="0"/>
                <wp:docPr id="13957" name="Group 13957"/>
                <wp:cNvGraphicFramePr/>
                <a:graphic xmlns:a="http://schemas.openxmlformats.org/drawingml/2006/main">
                  <a:graphicData uri="http://schemas.microsoft.com/office/word/2010/wordprocessingGroup">
                    <wpg:wgp>
                      <wpg:cNvGrpSpPr/>
                      <wpg:grpSpPr>
                        <a:xfrm>
                          <a:off x="0" y="0"/>
                          <a:ext cx="7048500" cy="741680"/>
                          <a:chOff x="0" y="0"/>
                          <a:chExt cx="7048500" cy="741680"/>
                        </a:xfrm>
                      </wpg:grpSpPr>
                      <pic:pic xmlns:pic="http://schemas.openxmlformats.org/drawingml/2006/picture">
                        <pic:nvPicPr>
                          <pic:cNvPr id="11" name="Picture 11"/>
                          <pic:cNvPicPr/>
                        </pic:nvPicPr>
                        <pic:blipFill>
                          <a:blip r:embed="rId7"/>
                          <a:stretch>
                            <a:fillRect/>
                          </a:stretch>
                        </pic:blipFill>
                        <pic:spPr>
                          <a:xfrm>
                            <a:off x="4191000" y="106680"/>
                            <a:ext cx="2806700" cy="397891"/>
                          </a:xfrm>
                          <a:prstGeom prst="rect">
                            <a:avLst/>
                          </a:prstGeom>
                        </pic:spPr>
                      </pic:pic>
                      <wps:wsp>
                        <wps:cNvPr id="12" name="Rectangle 12"/>
                        <wps:cNvSpPr/>
                        <wps:spPr>
                          <a:xfrm>
                            <a:off x="63500" y="0"/>
                            <a:ext cx="3614944" cy="378358"/>
                          </a:xfrm>
                          <a:prstGeom prst="rect">
                            <a:avLst/>
                          </a:prstGeom>
                          <a:ln>
                            <a:noFill/>
                          </a:ln>
                        </wps:spPr>
                        <wps:txbx>
                          <w:txbxContent>
                            <w:p w14:paraId="28A547BF" w14:textId="77777777" w:rsidR="00257A3E" w:rsidRDefault="00000000">
                              <w:pPr>
                                <w:spacing w:after="160" w:line="259" w:lineRule="auto"/>
                                <w:ind w:left="0" w:right="0" w:firstLine="0"/>
                                <w:jc w:val="left"/>
                              </w:pPr>
                              <w:r>
                                <w:rPr>
                                  <w:rFonts w:ascii="Calibri" w:eastAsia="Calibri" w:hAnsi="Calibri" w:cs="Calibri"/>
                                  <w:b/>
                                  <w:color w:val="00608F"/>
                                  <w:w w:val="129"/>
                                  <w:sz w:val="32"/>
                                </w:rPr>
                                <w:t>Boletim</w:t>
                              </w:r>
                              <w:r>
                                <w:rPr>
                                  <w:rFonts w:ascii="Calibri" w:eastAsia="Calibri" w:hAnsi="Calibri" w:cs="Calibri"/>
                                  <w:b/>
                                  <w:color w:val="00608F"/>
                                  <w:spacing w:val="4"/>
                                  <w:w w:val="129"/>
                                  <w:sz w:val="32"/>
                                </w:rPr>
                                <w:t xml:space="preserve"> </w:t>
                              </w:r>
                              <w:r>
                                <w:rPr>
                                  <w:rFonts w:ascii="Calibri" w:eastAsia="Calibri" w:hAnsi="Calibri" w:cs="Calibri"/>
                                  <w:b/>
                                  <w:color w:val="00608F"/>
                                  <w:w w:val="129"/>
                                  <w:sz w:val="32"/>
                                </w:rPr>
                                <w:t>de</w:t>
                              </w:r>
                              <w:r>
                                <w:rPr>
                                  <w:rFonts w:ascii="Calibri" w:eastAsia="Calibri" w:hAnsi="Calibri" w:cs="Calibri"/>
                                  <w:b/>
                                  <w:color w:val="00608F"/>
                                  <w:spacing w:val="4"/>
                                  <w:w w:val="129"/>
                                  <w:sz w:val="32"/>
                                </w:rPr>
                                <w:t xml:space="preserve"> </w:t>
                              </w:r>
                              <w:r>
                                <w:rPr>
                                  <w:rFonts w:ascii="Calibri" w:eastAsia="Calibri" w:hAnsi="Calibri" w:cs="Calibri"/>
                                  <w:b/>
                                  <w:color w:val="00608F"/>
                                  <w:w w:val="129"/>
                                  <w:sz w:val="32"/>
                                </w:rPr>
                                <w:t>Jurisprudência</w:t>
                              </w:r>
                            </w:p>
                          </w:txbxContent>
                        </wps:txbx>
                        <wps:bodyPr horzOverflow="overflow" vert="horz" lIns="0" tIns="0" rIns="0" bIns="0" rtlCol="0">
                          <a:noAutofit/>
                        </wps:bodyPr>
                      </wps:wsp>
                      <wps:wsp>
                        <wps:cNvPr id="13" name="Rectangle 13"/>
                        <wps:cNvSpPr/>
                        <wps:spPr>
                          <a:xfrm>
                            <a:off x="63500" y="304800"/>
                            <a:ext cx="2125293" cy="378358"/>
                          </a:xfrm>
                          <a:prstGeom prst="rect">
                            <a:avLst/>
                          </a:prstGeom>
                          <a:ln>
                            <a:noFill/>
                          </a:ln>
                        </wps:spPr>
                        <wps:txbx>
                          <w:txbxContent>
                            <w:p w14:paraId="092F780A" w14:textId="77777777" w:rsidR="00257A3E" w:rsidRDefault="00000000">
                              <w:pPr>
                                <w:spacing w:after="160" w:line="259" w:lineRule="auto"/>
                                <w:ind w:left="0" w:right="0" w:firstLine="0"/>
                                <w:jc w:val="left"/>
                              </w:pPr>
                              <w:r>
                                <w:rPr>
                                  <w:rFonts w:ascii="Calibri" w:eastAsia="Calibri" w:hAnsi="Calibri" w:cs="Calibri"/>
                                  <w:b/>
                                  <w:color w:val="00608F"/>
                                  <w:w w:val="122"/>
                                  <w:sz w:val="32"/>
                                </w:rPr>
                                <w:t>Número</w:t>
                              </w:r>
                              <w:r>
                                <w:rPr>
                                  <w:rFonts w:ascii="Calibri" w:eastAsia="Calibri" w:hAnsi="Calibri" w:cs="Calibri"/>
                                  <w:b/>
                                  <w:color w:val="00608F"/>
                                  <w:spacing w:val="4"/>
                                  <w:w w:val="122"/>
                                  <w:sz w:val="32"/>
                                </w:rPr>
                                <w:t xml:space="preserve"> </w:t>
                              </w:r>
                              <w:r>
                                <w:rPr>
                                  <w:rFonts w:ascii="Calibri" w:eastAsia="Calibri" w:hAnsi="Calibri" w:cs="Calibri"/>
                                  <w:b/>
                                  <w:color w:val="00608F"/>
                                  <w:w w:val="122"/>
                                  <w:sz w:val="32"/>
                                </w:rPr>
                                <w:t>3/2025</w:t>
                              </w:r>
                            </w:p>
                          </w:txbxContent>
                        </wps:txbx>
                        <wps:bodyPr horzOverflow="overflow" vert="horz" lIns="0" tIns="0" rIns="0" bIns="0" rtlCol="0">
                          <a:noAutofit/>
                        </wps:bodyPr>
                      </wps:wsp>
                      <wps:wsp>
                        <wps:cNvPr id="46" name="Shape 46"/>
                        <wps:cNvSpPr/>
                        <wps:spPr>
                          <a:xfrm>
                            <a:off x="0" y="741680"/>
                            <a:ext cx="7048500" cy="0"/>
                          </a:xfrm>
                          <a:custGeom>
                            <a:avLst/>
                            <a:gdLst/>
                            <a:ahLst/>
                            <a:cxnLst/>
                            <a:rect l="0" t="0" r="0" b="0"/>
                            <a:pathLst>
                              <a:path w="7048500">
                                <a:moveTo>
                                  <a:pt x="0" y="0"/>
                                </a:moveTo>
                                <a:lnTo>
                                  <a:pt x="7048500" y="0"/>
                                </a:lnTo>
                              </a:path>
                            </a:pathLst>
                          </a:custGeom>
                          <a:ln w="12700" cap="flat">
                            <a:miter lim="127000"/>
                          </a:ln>
                        </wps:spPr>
                        <wps:style>
                          <a:lnRef idx="1">
                            <a:srgbClr val="005C89"/>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3957" style="width:555pt;height:58.4pt;mso-position-horizontal-relative:char;mso-position-vertical-relative:line" coordsize="70485,7416">
                <v:shape id="Picture 11" style="position:absolute;width:28067;height:3978;left:41910;top:1066;" filled="f">
                  <v:imagedata r:id="rId19"/>
                </v:shape>
                <v:rect id="Rectangle 12" style="position:absolute;width:36149;height:3783;left:635;top:0;" filled="f" stroked="f">
                  <v:textbox inset="0,0,0,0">
                    <w:txbxContent>
                      <w:p>
                        <w:pPr>
                          <w:spacing w:before="0" w:after="160" w:line="259" w:lineRule="auto"/>
                          <w:ind w:left="0" w:right="0" w:firstLine="0"/>
                          <w:jc w:val="left"/>
                        </w:pPr>
                        <w:r>
                          <w:rPr>
                            <w:rFonts w:cs="Calibri" w:hAnsi="Calibri" w:eastAsia="Calibri" w:ascii="Calibri"/>
                            <w:b w:val="1"/>
                            <w:color w:val="00608f"/>
                            <w:w w:val="129"/>
                            <w:sz w:val="32"/>
                          </w:rPr>
                          <w:t xml:space="preserve">Boletim</w:t>
                        </w:r>
                        <w:r>
                          <w:rPr>
                            <w:rFonts w:cs="Calibri" w:hAnsi="Calibri" w:eastAsia="Calibri" w:ascii="Calibri"/>
                            <w:b w:val="1"/>
                            <w:color w:val="00608f"/>
                            <w:spacing w:val="4"/>
                            <w:w w:val="129"/>
                            <w:sz w:val="32"/>
                          </w:rPr>
                          <w:t xml:space="preserve"> </w:t>
                        </w:r>
                        <w:r>
                          <w:rPr>
                            <w:rFonts w:cs="Calibri" w:hAnsi="Calibri" w:eastAsia="Calibri" w:ascii="Calibri"/>
                            <w:b w:val="1"/>
                            <w:color w:val="00608f"/>
                            <w:w w:val="129"/>
                            <w:sz w:val="32"/>
                          </w:rPr>
                          <w:t xml:space="preserve">de</w:t>
                        </w:r>
                        <w:r>
                          <w:rPr>
                            <w:rFonts w:cs="Calibri" w:hAnsi="Calibri" w:eastAsia="Calibri" w:ascii="Calibri"/>
                            <w:b w:val="1"/>
                            <w:color w:val="00608f"/>
                            <w:spacing w:val="4"/>
                            <w:w w:val="129"/>
                            <w:sz w:val="32"/>
                          </w:rPr>
                          <w:t xml:space="preserve"> </w:t>
                        </w:r>
                        <w:r>
                          <w:rPr>
                            <w:rFonts w:cs="Calibri" w:hAnsi="Calibri" w:eastAsia="Calibri" w:ascii="Calibri"/>
                            <w:b w:val="1"/>
                            <w:color w:val="00608f"/>
                            <w:w w:val="129"/>
                            <w:sz w:val="32"/>
                          </w:rPr>
                          <w:t xml:space="preserve">Jurisprudência</w:t>
                        </w:r>
                      </w:p>
                    </w:txbxContent>
                  </v:textbox>
                </v:rect>
                <v:rect id="Rectangle 13" style="position:absolute;width:21252;height:3783;left:635;top:3048;" filled="f" stroked="f">
                  <v:textbox inset="0,0,0,0">
                    <w:txbxContent>
                      <w:p>
                        <w:pPr>
                          <w:spacing w:before="0" w:after="160" w:line="259" w:lineRule="auto"/>
                          <w:ind w:left="0" w:right="0" w:firstLine="0"/>
                          <w:jc w:val="left"/>
                        </w:pPr>
                        <w:r>
                          <w:rPr>
                            <w:rFonts w:cs="Calibri" w:hAnsi="Calibri" w:eastAsia="Calibri" w:ascii="Calibri"/>
                            <w:b w:val="1"/>
                            <w:color w:val="00608f"/>
                            <w:w w:val="122"/>
                            <w:sz w:val="32"/>
                          </w:rPr>
                          <w:t xml:space="preserve">Número</w:t>
                        </w:r>
                        <w:r>
                          <w:rPr>
                            <w:rFonts w:cs="Calibri" w:hAnsi="Calibri" w:eastAsia="Calibri" w:ascii="Calibri"/>
                            <w:b w:val="1"/>
                            <w:color w:val="00608f"/>
                            <w:spacing w:val="4"/>
                            <w:w w:val="122"/>
                            <w:sz w:val="32"/>
                          </w:rPr>
                          <w:t xml:space="preserve"> </w:t>
                        </w:r>
                        <w:r>
                          <w:rPr>
                            <w:rFonts w:cs="Calibri" w:hAnsi="Calibri" w:eastAsia="Calibri" w:ascii="Calibri"/>
                            <w:b w:val="1"/>
                            <w:color w:val="00608f"/>
                            <w:w w:val="122"/>
                            <w:sz w:val="32"/>
                          </w:rPr>
                          <w:t xml:space="preserve">3/2025</w:t>
                        </w:r>
                      </w:p>
                    </w:txbxContent>
                  </v:textbox>
                </v:rect>
                <v:shape id="Shape 46" style="position:absolute;width:70485;height:0;left:0;top:7416;" coordsize="7048500,0" path="m0,0l7048500,0">
                  <v:stroke weight="1pt" endcap="flat" joinstyle="miter" miterlimit="10" on="true" color="#005c89"/>
                  <v:fill on="false" color="#000000" opacity="0"/>
                </v:shape>
              </v:group>
            </w:pict>
          </mc:Fallback>
        </mc:AlternateContent>
      </w:r>
    </w:p>
    <w:p w14:paraId="1DA350D1" w14:textId="77777777" w:rsidR="00257A3E" w:rsidRDefault="00000000">
      <w:pPr>
        <w:spacing w:after="303" w:line="259" w:lineRule="auto"/>
        <w:ind w:left="720" w:right="0" w:firstLine="0"/>
        <w:jc w:val="left"/>
      </w:pPr>
      <w:r>
        <w:rPr>
          <w:b/>
          <w:sz w:val="24"/>
        </w:rPr>
        <w:t>Sessões de 01/05/2025 a 30/06/2025 - 3° BIMESTRE</w:t>
      </w:r>
    </w:p>
    <w:p w14:paraId="1D6024FD" w14:textId="77777777" w:rsidR="00257A3E" w:rsidRDefault="00000000">
      <w:pPr>
        <w:spacing w:after="0" w:line="354" w:lineRule="auto"/>
        <w:ind w:left="-15" w:right="0" w:firstLine="759"/>
      </w:pPr>
      <w:r>
        <w:rPr>
          <w:sz w:val="24"/>
        </w:rPr>
        <w:t>Este boletim periódico apresenta um conjunto de decisões do Tribunal de Contas do Distrito Federal (TCDF) que foram destacadas por sua relevância.</w:t>
      </w:r>
    </w:p>
    <w:p w14:paraId="0C77C732" w14:textId="77777777" w:rsidR="00257A3E" w:rsidRDefault="00000000">
      <w:pPr>
        <w:spacing w:after="0" w:line="354" w:lineRule="auto"/>
        <w:ind w:left="-15" w:right="0" w:firstLine="728"/>
      </w:pPr>
      <w:r>
        <w:rPr>
          <w:sz w:val="24"/>
        </w:rPr>
        <w:t>As decisões estão expostas por meio de resumos produzidos pela Supervisão de Legislação e Jurisprudência - SLJ ou pela ementa dos votos dos Desembargadores de Contas Relatores.</w:t>
      </w:r>
    </w:p>
    <w:p w14:paraId="6A216F00" w14:textId="77777777" w:rsidR="00257A3E" w:rsidRDefault="00000000">
      <w:pPr>
        <w:tabs>
          <w:tab w:val="center" w:pos="1422"/>
          <w:tab w:val="center" w:pos="2778"/>
          <w:tab w:val="center" w:pos="3760"/>
          <w:tab w:val="center" w:pos="4409"/>
          <w:tab w:val="center" w:pos="5512"/>
          <w:tab w:val="center" w:pos="6688"/>
          <w:tab w:val="center" w:pos="7404"/>
          <w:tab w:val="center" w:pos="8086"/>
          <w:tab w:val="center" w:pos="8975"/>
          <w:tab w:val="center" w:pos="10038"/>
          <w:tab w:val="right" w:pos="11177"/>
        </w:tabs>
        <w:spacing w:after="118" w:line="259" w:lineRule="auto"/>
        <w:ind w:left="0" w:right="0" w:firstLine="0"/>
        <w:jc w:val="left"/>
      </w:pPr>
      <w:r>
        <w:rPr>
          <w:rFonts w:ascii="Calibri" w:eastAsia="Calibri" w:hAnsi="Calibri" w:cs="Calibri"/>
          <w:sz w:val="22"/>
        </w:rPr>
        <w:tab/>
      </w:r>
      <w:r>
        <w:rPr>
          <w:sz w:val="24"/>
        </w:rPr>
        <w:t xml:space="preserve">Importante </w:t>
      </w:r>
      <w:r>
        <w:rPr>
          <w:sz w:val="24"/>
        </w:rPr>
        <w:tab/>
        <w:t xml:space="preserve">destacar </w:t>
      </w:r>
      <w:r>
        <w:rPr>
          <w:sz w:val="24"/>
        </w:rPr>
        <w:tab/>
        <w:t xml:space="preserve">que </w:t>
      </w:r>
      <w:r>
        <w:rPr>
          <w:sz w:val="24"/>
        </w:rPr>
        <w:tab/>
        <w:t xml:space="preserve">as </w:t>
      </w:r>
      <w:r>
        <w:rPr>
          <w:sz w:val="24"/>
        </w:rPr>
        <w:tab/>
        <w:t xml:space="preserve">informações </w:t>
      </w:r>
      <w:r>
        <w:rPr>
          <w:sz w:val="24"/>
        </w:rPr>
        <w:tab/>
        <w:t xml:space="preserve">não </w:t>
      </w:r>
      <w:r>
        <w:rPr>
          <w:sz w:val="24"/>
        </w:rPr>
        <w:tab/>
        <w:t xml:space="preserve">são </w:t>
      </w:r>
      <w:r>
        <w:rPr>
          <w:sz w:val="24"/>
        </w:rPr>
        <w:tab/>
        <w:t xml:space="preserve">um </w:t>
      </w:r>
      <w:r>
        <w:rPr>
          <w:sz w:val="24"/>
        </w:rPr>
        <w:tab/>
        <w:t xml:space="preserve">resumo </w:t>
      </w:r>
      <w:r>
        <w:rPr>
          <w:sz w:val="24"/>
        </w:rPr>
        <w:tab/>
        <w:t xml:space="preserve">oficial, </w:t>
      </w:r>
      <w:r>
        <w:rPr>
          <w:sz w:val="24"/>
        </w:rPr>
        <w:tab/>
        <w:t xml:space="preserve">nem </w:t>
      </w:r>
    </w:p>
    <w:p w14:paraId="1FAC48CA" w14:textId="77777777" w:rsidR="00257A3E" w:rsidRDefault="00000000">
      <w:pPr>
        <w:spacing w:after="175" w:line="259" w:lineRule="auto"/>
        <w:ind w:left="-5" w:right="0" w:hanging="10"/>
      </w:pPr>
      <w:r>
        <w:rPr>
          <w:sz w:val="24"/>
        </w:rPr>
        <w:t>refletem necessariamente a opinião dominante do Tribunal.</w:t>
      </w:r>
    </w:p>
    <w:p w14:paraId="2F71358A" w14:textId="77777777" w:rsidR="00257A3E" w:rsidRDefault="00000000">
      <w:pPr>
        <w:spacing w:after="499" w:line="259" w:lineRule="auto"/>
        <w:ind w:left="746" w:right="0" w:firstLine="0"/>
        <w:jc w:val="left"/>
      </w:pPr>
      <w:r>
        <w:rPr>
          <w:sz w:val="24"/>
        </w:rPr>
        <w:t>Para detalhes, acesse os documentos do processo pelos links fornecidos.</w:t>
      </w:r>
    </w:p>
    <w:p w14:paraId="251FC5E7" w14:textId="77777777" w:rsidR="00257A3E" w:rsidRDefault="00000000">
      <w:pPr>
        <w:spacing w:after="246" w:line="259" w:lineRule="auto"/>
        <w:ind w:left="2760" w:right="0" w:firstLine="0"/>
        <w:jc w:val="left"/>
      </w:pPr>
      <w:r>
        <w:rPr>
          <w:rFonts w:ascii="Calibri" w:eastAsia="Calibri" w:hAnsi="Calibri" w:cs="Calibri"/>
          <w:noProof/>
          <w:sz w:val="22"/>
        </w:rPr>
        <mc:AlternateContent>
          <mc:Choice Requires="wpg">
            <w:drawing>
              <wp:inline distT="0" distB="0" distL="0" distR="0" wp14:anchorId="55B6E1D4" wp14:editId="64025290">
                <wp:extent cx="3683000" cy="12700"/>
                <wp:effectExtent l="0" t="0" r="0" b="0"/>
                <wp:docPr id="13958" name="Group 13958"/>
                <wp:cNvGraphicFramePr/>
                <a:graphic xmlns:a="http://schemas.openxmlformats.org/drawingml/2006/main">
                  <a:graphicData uri="http://schemas.microsoft.com/office/word/2010/wordprocessingGroup">
                    <wpg:wgp>
                      <wpg:cNvGrpSpPr/>
                      <wpg:grpSpPr>
                        <a:xfrm>
                          <a:off x="0" y="0"/>
                          <a:ext cx="3683000" cy="12700"/>
                          <a:chOff x="0" y="0"/>
                          <a:chExt cx="3683000" cy="12700"/>
                        </a:xfrm>
                      </wpg:grpSpPr>
                      <wps:wsp>
                        <wps:cNvPr id="45" name="Shape 45"/>
                        <wps:cNvSpPr/>
                        <wps:spPr>
                          <a:xfrm>
                            <a:off x="0" y="0"/>
                            <a:ext cx="3683000" cy="0"/>
                          </a:xfrm>
                          <a:custGeom>
                            <a:avLst/>
                            <a:gdLst/>
                            <a:ahLst/>
                            <a:cxnLst/>
                            <a:rect l="0" t="0" r="0" b="0"/>
                            <a:pathLst>
                              <a:path w="3683000">
                                <a:moveTo>
                                  <a:pt x="0" y="0"/>
                                </a:moveTo>
                                <a:lnTo>
                                  <a:pt x="3683000" y="0"/>
                                </a:lnTo>
                              </a:path>
                            </a:pathLst>
                          </a:custGeom>
                          <a:ln w="12700" cap="flat">
                            <a:miter lim="127000"/>
                          </a:ln>
                        </wps:spPr>
                        <wps:style>
                          <a:lnRef idx="1">
                            <a:srgbClr val="00608F"/>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3958" style="width:290pt;height:1pt;mso-position-horizontal-relative:char;mso-position-vertical-relative:line" coordsize="36830,127">
                <v:shape id="Shape 45" style="position:absolute;width:36830;height:0;left:0;top:0;" coordsize="3683000,0" path="m0,0l3683000,0">
                  <v:stroke weight="1pt" endcap="flat" joinstyle="miter" miterlimit="10" on="true" color="#00608f"/>
                  <v:fill on="false" color="#000000" opacity="0"/>
                </v:shape>
              </v:group>
            </w:pict>
          </mc:Fallback>
        </mc:AlternateContent>
      </w:r>
    </w:p>
    <w:p w14:paraId="4EF7EF6E" w14:textId="77777777" w:rsidR="00257A3E" w:rsidRDefault="00000000">
      <w:pPr>
        <w:pStyle w:val="Ttulo1"/>
      </w:pPr>
      <w:r>
        <w:t>Contas</w:t>
      </w:r>
    </w:p>
    <w:p w14:paraId="18A937DD" w14:textId="77777777" w:rsidR="00257A3E" w:rsidRDefault="00000000">
      <w:pPr>
        <w:spacing w:after="80" w:line="261" w:lineRule="auto"/>
        <w:ind w:left="140" w:right="0" w:firstLine="50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48264244" wp14:editId="7EC91061">
                <wp:simplePos x="0" y="0"/>
                <wp:positionH relativeFrom="column">
                  <wp:posOffset>88900</wp:posOffset>
                </wp:positionH>
                <wp:positionV relativeFrom="paragraph">
                  <wp:posOffset>-17758</wp:posOffset>
                </wp:positionV>
                <wp:extent cx="80010" cy="320040"/>
                <wp:effectExtent l="0" t="0" r="0" b="0"/>
                <wp:wrapSquare wrapText="bothSides"/>
                <wp:docPr id="14735" name="Group 14735"/>
                <wp:cNvGraphicFramePr/>
                <a:graphic xmlns:a="http://schemas.openxmlformats.org/drawingml/2006/main">
                  <a:graphicData uri="http://schemas.microsoft.com/office/word/2010/wordprocessingGroup">
                    <wpg:wgp>
                      <wpg:cNvGrpSpPr/>
                      <wpg:grpSpPr>
                        <a:xfrm>
                          <a:off x="0" y="0"/>
                          <a:ext cx="80010" cy="320040"/>
                          <a:chOff x="0" y="0"/>
                          <a:chExt cx="80010" cy="320040"/>
                        </a:xfrm>
                      </wpg:grpSpPr>
                      <wps:wsp>
                        <wps:cNvPr id="47" name="Rectangle 47"/>
                        <wps:cNvSpPr/>
                        <wps:spPr>
                          <a:xfrm>
                            <a:off x="0" y="0"/>
                            <a:ext cx="106413" cy="425653"/>
                          </a:xfrm>
                          <a:prstGeom prst="rect">
                            <a:avLst/>
                          </a:prstGeom>
                          <a:ln>
                            <a:noFill/>
                          </a:ln>
                        </wps:spPr>
                        <wps:txbx>
                          <w:txbxContent>
                            <w:p w14:paraId="5504BEB4" w14:textId="77777777" w:rsidR="00257A3E" w:rsidRDefault="00000000">
                              <w:pPr>
                                <w:spacing w:after="160" w:line="259" w:lineRule="auto"/>
                                <w:ind w:left="0" w:right="0" w:firstLine="0"/>
                                <w:jc w:val="left"/>
                              </w:pPr>
                              <w:r>
                                <w:rPr>
                                  <w:rFonts w:ascii="Calibri" w:eastAsia="Calibri" w:hAnsi="Calibri" w:cs="Calibri"/>
                                  <w:color w:val="6EABBF"/>
                                  <w:w w:val="69"/>
                                  <w:sz w:val="36"/>
                                </w:rPr>
                                <w:t>1</w:t>
                              </w:r>
                            </w:p>
                          </w:txbxContent>
                        </wps:txbx>
                        <wps:bodyPr horzOverflow="overflow" vert="horz" lIns="0" tIns="0" rIns="0" bIns="0" rtlCol="0">
                          <a:noAutofit/>
                        </wps:bodyPr>
                      </wps:wsp>
                    </wpg:wgp>
                  </a:graphicData>
                </a:graphic>
              </wp:anchor>
            </w:drawing>
          </mc:Choice>
          <mc:Fallback xmlns:a="http://schemas.openxmlformats.org/drawingml/2006/main">
            <w:pict>
              <v:group id="Group 14735" style="width:6.3pt;height:25.2pt;position:absolute;mso-position-horizontal-relative:text;mso-position-horizontal:absolute;margin-left:7pt;mso-position-vertical-relative:text;margin-top:-1.39832pt;" coordsize="800,3200">
                <v:rect id="Rectangle 47" style="position:absolute;width:1064;height:4256;left:0;top:0;" filled="f" stroked="f">
                  <v:textbox inset="0,0,0,0">
                    <w:txbxContent>
                      <w:p>
                        <w:pPr>
                          <w:spacing w:before="0" w:after="160" w:line="259" w:lineRule="auto"/>
                          <w:ind w:left="0" w:right="0" w:firstLine="0"/>
                          <w:jc w:val="left"/>
                        </w:pPr>
                        <w:r>
                          <w:rPr>
                            <w:rFonts w:cs="Calibri" w:hAnsi="Calibri" w:eastAsia="Calibri" w:ascii="Calibri"/>
                            <w:color w:val="6eabbf"/>
                            <w:w w:val="69"/>
                            <w:sz w:val="36"/>
                          </w:rPr>
                          <w:t xml:space="preserve">1</w:t>
                        </w:r>
                      </w:p>
                    </w:txbxContent>
                  </v:textbox>
                </v:rect>
                <w10:wrap type="square"/>
              </v:group>
            </w:pict>
          </mc:Fallback>
        </mc:AlternateContent>
      </w:r>
      <w:r>
        <w:rPr>
          <w:b/>
          <w:sz w:val="20"/>
        </w:rPr>
        <w:t>CONTAS. POLÍCIA MILITAR DO DISTRITO FEDERAL. PMDF. TOMADA DE CONTAS ESPECIAL. AUXÍLIO-MORADIA INDEVIDAMENTE MAJORADO. TERMO DE CIÊNCIA. BOA-FÉ. AFASTAMENTO DA PRESUNÇÃO. EXIGIBILIDADE. PARCELAS POSTERIORES. POSSÍVEL. MULTA DE MORA. JUROS DE MORA. FASE DE CITAÇÃO. NÃO INCIDÊNCIA. DÉBITO ABAIXO DO VALOR DE ALÇADA. ENCERRAMENTO DA TCE. REMESSA DOS AUTOS PARA COBRANÇA ADMINISTRATIVA.</w:t>
      </w:r>
    </w:p>
    <w:p w14:paraId="2ED0D827" w14:textId="77777777" w:rsidR="00257A3E" w:rsidRDefault="00000000">
      <w:pPr>
        <w:numPr>
          <w:ilvl w:val="0"/>
          <w:numId w:val="1"/>
        </w:numPr>
        <w:spacing w:after="242"/>
      </w:pPr>
      <w:r>
        <w:t>Em sede de recebimentos indevidos de parcelas remuneratórias ou indenizatórias, decorrentes de erro de interpretação normativa por parte da Administração Pública, a notificação do agente público acerca da irregularidade afasta a presunção de boa-fé evidencia a resistência da pretensão e possibilita a exigibilidade das parcelas, em atenção à Decisão nº 4818/2022.</w:t>
      </w:r>
    </w:p>
    <w:p w14:paraId="1D0112DB" w14:textId="77777777" w:rsidR="00257A3E" w:rsidRDefault="00000000">
      <w:pPr>
        <w:numPr>
          <w:ilvl w:val="0"/>
          <w:numId w:val="1"/>
        </w:numPr>
        <w:spacing w:after="242"/>
      </w:pPr>
      <w:r>
        <w:t>Não incidem juros ou multa de mora sobre débito em fase processual prévia à citação, conforme intelecção do art. 198, II, §§1º, 4º e 5º, do Regimento Interno do TCDF.</w:t>
      </w:r>
    </w:p>
    <w:p w14:paraId="4D3D285C" w14:textId="77777777" w:rsidR="00257A3E" w:rsidRDefault="00000000">
      <w:pPr>
        <w:numPr>
          <w:ilvl w:val="0"/>
          <w:numId w:val="1"/>
        </w:numPr>
      </w:pPr>
      <w:r>
        <w:t>Verificado dano irrisório, não se dará prosseguimento à Tomada de Contas Especial, encerrando-se o procedimento na fase em que se encontrar, devendo os autos ser remetidos à autoridade administrativa competente para regularização da situação ou ressarcimento do dano (art. 59, inciso XII, §§ 7º e 9º, da Instrução Normativa nº 3/2021-TCDF).</w:t>
      </w:r>
    </w:p>
    <w:p w14:paraId="3E42323B" w14:textId="77777777" w:rsidR="00257A3E" w:rsidRDefault="00257A3E">
      <w:pPr>
        <w:sectPr w:rsidR="00257A3E">
          <w:headerReference w:type="even" r:id="rId20"/>
          <w:headerReference w:type="default" r:id="rId21"/>
          <w:footerReference w:type="even" r:id="rId22"/>
          <w:footerReference w:type="default" r:id="rId23"/>
          <w:headerReference w:type="first" r:id="rId24"/>
          <w:footerReference w:type="first" r:id="rId25"/>
          <w:pgSz w:w="11900" w:h="16840"/>
          <w:pgMar w:top="432" w:right="323" w:bottom="1440" w:left="400" w:header="297" w:footer="54" w:gutter="0"/>
          <w:cols w:space="720"/>
          <w:titlePg/>
        </w:sectPr>
      </w:pPr>
    </w:p>
    <w:p w14:paraId="0C8DCEFD" w14:textId="77777777" w:rsidR="00257A3E" w:rsidRDefault="00000000">
      <w:pPr>
        <w:spacing w:after="50" w:line="261" w:lineRule="auto"/>
        <w:ind w:left="18" w:right="0" w:hanging="10"/>
      </w:pPr>
      <w:r>
        <w:rPr>
          <w:b/>
          <w:sz w:val="20"/>
        </w:rPr>
        <w:t>Relator:</w:t>
      </w:r>
    </w:p>
    <w:p w14:paraId="374A7350" w14:textId="77777777" w:rsidR="00257A3E" w:rsidRDefault="00000000">
      <w:pPr>
        <w:spacing w:after="155" w:line="261" w:lineRule="auto"/>
        <w:ind w:left="18" w:right="0" w:hanging="10"/>
      </w:pPr>
      <w:r>
        <w:rPr>
          <w:b/>
          <w:sz w:val="20"/>
        </w:rPr>
        <w:t>Vinícius Cardoso De Pinho Fragoso</w:t>
      </w:r>
    </w:p>
    <w:p w14:paraId="3E368EC4" w14:textId="77777777" w:rsidR="00257A3E" w:rsidRDefault="00000000">
      <w:pPr>
        <w:spacing w:after="370" w:line="261" w:lineRule="auto"/>
        <w:ind w:left="18" w:right="0" w:hanging="10"/>
      </w:pPr>
      <w:r>
        <w:rPr>
          <w:b/>
          <w:sz w:val="20"/>
        </w:rPr>
        <w:t>Decisão por unanimidade</w:t>
      </w:r>
    </w:p>
    <w:p w14:paraId="4E0FD2B7" w14:textId="77777777" w:rsidR="00257A3E" w:rsidRDefault="00000000">
      <w:pPr>
        <w:spacing w:after="155" w:line="261" w:lineRule="auto"/>
        <w:ind w:left="18" w:right="0" w:hanging="10"/>
      </w:pPr>
      <w:r>
        <w:rPr>
          <w:b/>
          <w:sz w:val="20"/>
        </w:rPr>
        <w:t>Decisões relacionadas:</w:t>
      </w:r>
    </w:p>
    <w:p w14:paraId="50138455" w14:textId="77777777" w:rsidR="00257A3E" w:rsidRDefault="00000000">
      <w:pPr>
        <w:spacing w:after="167" w:line="259" w:lineRule="auto"/>
        <w:ind w:left="18" w:right="0" w:hanging="10"/>
        <w:jc w:val="left"/>
      </w:pPr>
      <w:r>
        <w:rPr>
          <w:color w:val="2205FC"/>
          <w:sz w:val="20"/>
          <w:u w:val="single" w:color="2205FC"/>
        </w:rPr>
        <w:t>TCDF: Decisão nº 4818/2022</w:t>
      </w:r>
    </w:p>
    <w:p w14:paraId="17C88028" w14:textId="77777777" w:rsidR="00257A3E" w:rsidRDefault="00000000">
      <w:pPr>
        <w:spacing w:after="252" w:line="259" w:lineRule="auto"/>
        <w:ind w:left="18" w:right="0" w:hanging="10"/>
        <w:jc w:val="left"/>
      </w:pPr>
      <w:r>
        <w:rPr>
          <w:color w:val="2205FC"/>
          <w:sz w:val="20"/>
          <w:u w:val="single" w:color="2205FC"/>
        </w:rPr>
        <w:t>TCDF: Decisão nº 511/2025</w:t>
      </w:r>
    </w:p>
    <w:p w14:paraId="01E938C1" w14:textId="77777777" w:rsidR="00257A3E" w:rsidRDefault="00000000">
      <w:pPr>
        <w:spacing w:after="155" w:line="261" w:lineRule="auto"/>
        <w:ind w:left="18" w:right="0" w:hanging="10"/>
      </w:pPr>
      <w:r>
        <w:rPr>
          <w:b/>
          <w:sz w:val="20"/>
        </w:rPr>
        <w:t>Legislação relacionada:</w:t>
      </w:r>
    </w:p>
    <w:p w14:paraId="6B32FCC2" w14:textId="77777777" w:rsidR="00257A3E" w:rsidRDefault="00000000">
      <w:pPr>
        <w:spacing w:after="164" w:line="259" w:lineRule="auto"/>
        <w:ind w:left="20" w:right="0" w:firstLine="0"/>
        <w:jc w:val="left"/>
      </w:pPr>
      <w:r>
        <w:rPr>
          <w:color w:val="2205FC"/>
          <w:sz w:val="20"/>
          <w:u w:val="single" w:color="2205FC"/>
        </w:rPr>
        <w:t>Regimento Interno do TCDF, Art. 198, II.</w:t>
      </w:r>
      <w:r>
        <w:rPr>
          <w:color w:val="2205FC"/>
          <w:sz w:val="20"/>
        </w:rPr>
        <w:t xml:space="preserve"> </w:t>
      </w:r>
    </w:p>
    <w:p w14:paraId="1E17849C" w14:textId="77777777" w:rsidR="00257A3E" w:rsidRDefault="00000000">
      <w:pPr>
        <w:spacing w:after="167" w:line="259" w:lineRule="auto"/>
        <w:ind w:left="18" w:right="0" w:hanging="10"/>
        <w:jc w:val="left"/>
      </w:pPr>
      <w:r>
        <w:rPr>
          <w:color w:val="2205FC"/>
          <w:sz w:val="20"/>
          <w:u w:val="single" w:color="2205FC"/>
        </w:rPr>
        <w:t>Instrução Normativa TCDF nº 3/2021, Art.</w:t>
      </w:r>
      <w:r>
        <w:rPr>
          <w:color w:val="2205FC"/>
          <w:sz w:val="20"/>
        </w:rPr>
        <w:t xml:space="preserve"> </w:t>
      </w:r>
    </w:p>
    <w:p w14:paraId="07470EE5" w14:textId="77777777" w:rsidR="00257A3E" w:rsidRDefault="00000000">
      <w:pPr>
        <w:spacing w:after="167" w:line="259" w:lineRule="auto"/>
        <w:ind w:left="18" w:right="0" w:hanging="10"/>
        <w:jc w:val="left"/>
      </w:pPr>
      <w:r>
        <w:rPr>
          <w:color w:val="2205FC"/>
          <w:sz w:val="20"/>
          <w:u w:val="single" w:color="2205FC"/>
        </w:rPr>
        <w:t>59, XII.</w:t>
      </w:r>
    </w:p>
    <w:p w14:paraId="4C131FD6" w14:textId="77777777" w:rsidR="00257A3E" w:rsidRDefault="00000000">
      <w:pPr>
        <w:spacing w:after="50" w:line="261" w:lineRule="auto"/>
        <w:ind w:left="18" w:right="0" w:hanging="10"/>
      </w:pPr>
      <w:r>
        <w:rPr>
          <w:b/>
          <w:sz w:val="20"/>
        </w:rPr>
        <w:t>Sessão:</w:t>
      </w:r>
    </w:p>
    <w:p w14:paraId="14B93ADF" w14:textId="77777777" w:rsidR="00257A3E" w:rsidRDefault="00000000">
      <w:pPr>
        <w:spacing w:after="155" w:line="261" w:lineRule="auto"/>
        <w:ind w:left="18" w:right="0" w:hanging="10"/>
      </w:pPr>
      <w:r>
        <w:rPr>
          <w:b/>
          <w:sz w:val="20"/>
        </w:rPr>
        <w:t>ORDINÁRIA nº 5426, de 11/06/2025.</w:t>
      </w:r>
    </w:p>
    <w:p w14:paraId="21144698" w14:textId="77777777" w:rsidR="00257A3E" w:rsidRDefault="00000000">
      <w:pPr>
        <w:spacing w:after="167" w:line="259" w:lineRule="auto"/>
        <w:ind w:left="18" w:right="0" w:hanging="10"/>
        <w:jc w:val="left"/>
      </w:pPr>
      <w:r>
        <w:rPr>
          <w:color w:val="2205FC"/>
          <w:sz w:val="20"/>
          <w:u w:val="single" w:color="2205FC"/>
        </w:rPr>
        <w:t>Proc. nº 9194/2024 - Dec. nº 2151/2025</w:t>
      </w:r>
    </w:p>
    <w:p w14:paraId="21E4F6EF" w14:textId="77777777" w:rsidR="00257A3E" w:rsidRDefault="00257A3E">
      <w:pPr>
        <w:sectPr w:rsidR="00257A3E">
          <w:type w:val="continuous"/>
          <w:pgSz w:w="11900" w:h="16840"/>
          <w:pgMar w:top="1440" w:right="2363" w:bottom="1440" w:left="1180" w:header="720" w:footer="720" w:gutter="0"/>
          <w:cols w:num="2" w:space="720" w:equalWidth="0">
            <w:col w:w="3783" w:space="1037"/>
            <w:col w:w="3537"/>
          </w:cols>
        </w:sectPr>
      </w:pPr>
    </w:p>
    <w:p w14:paraId="67E1EDC3" w14:textId="77777777" w:rsidR="00257A3E" w:rsidRDefault="00000000">
      <w:pPr>
        <w:pStyle w:val="Ttulo2"/>
      </w:pPr>
      <w:r>
        <w:t>Finanças Públicas</w:t>
      </w:r>
    </w:p>
    <w:p w14:paraId="616B41DB" w14:textId="77777777" w:rsidR="00257A3E" w:rsidRDefault="00000000">
      <w:pPr>
        <w:spacing w:after="3" w:line="261" w:lineRule="auto"/>
        <w:ind w:left="140" w:right="0" w:firstLine="500"/>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028645BD" wp14:editId="742E17BC">
                <wp:simplePos x="0" y="0"/>
                <wp:positionH relativeFrom="column">
                  <wp:posOffset>88900</wp:posOffset>
                </wp:positionH>
                <wp:positionV relativeFrom="paragraph">
                  <wp:posOffset>-17779</wp:posOffset>
                </wp:positionV>
                <wp:extent cx="131902" cy="320040"/>
                <wp:effectExtent l="0" t="0" r="0" b="0"/>
                <wp:wrapSquare wrapText="bothSides"/>
                <wp:docPr id="14740" name="Group 14740"/>
                <wp:cNvGraphicFramePr/>
                <a:graphic xmlns:a="http://schemas.openxmlformats.org/drawingml/2006/main">
                  <a:graphicData uri="http://schemas.microsoft.com/office/word/2010/wordprocessingGroup">
                    <wpg:wgp>
                      <wpg:cNvGrpSpPr/>
                      <wpg:grpSpPr>
                        <a:xfrm>
                          <a:off x="0" y="0"/>
                          <a:ext cx="131902" cy="320040"/>
                          <a:chOff x="0" y="0"/>
                          <a:chExt cx="131902" cy="320040"/>
                        </a:xfrm>
                      </wpg:grpSpPr>
                      <wps:wsp>
                        <wps:cNvPr id="124" name="Rectangle 124"/>
                        <wps:cNvSpPr/>
                        <wps:spPr>
                          <a:xfrm>
                            <a:off x="0" y="0"/>
                            <a:ext cx="175430" cy="425653"/>
                          </a:xfrm>
                          <a:prstGeom prst="rect">
                            <a:avLst/>
                          </a:prstGeom>
                          <a:ln>
                            <a:noFill/>
                          </a:ln>
                        </wps:spPr>
                        <wps:txbx>
                          <w:txbxContent>
                            <w:p w14:paraId="680ED960" w14:textId="77777777" w:rsidR="00257A3E" w:rsidRDefault="00000000">
                              <w:pPr>
                                <w:spacing w:after="160" w:line="259" w:lineRule="auto"/>
                                <w:ind w:left="0" w:right="0" w:firstLine="0"/>
                                <w:jc w:val="left"/>
                              </w:pPr>
                              <w:r>
                                <w:rPr>
                                  <w:rFonts w:ascii="Calibri" w:eastAsia="Calibri" w:hAnsi="Calibri" w:cs="Calibri"/>
                                  <w:color w:val="004582"/>
                                  <w:w w:val="113"/>
                                  <w:sz w:val="36"/>
                                </w:rPr>
                                <w:t>2</w:t>
                              </w:r>
                            </w:p>
                          </w:txbxContent>
                        </wps:txbx>
                        <wps:bodyPr horzOverflow="overflow" vert="horz" lIns="0" tIns="0" rIns="0" bIns="0" rtlCol="0">
                          <a:noAutofit/>
                        </wps:bodyPr>
                      </wps:wsp>
                    </wpg:wgp>
                  </a:graphicData>
                </a:graphic>
              </wp:anchor>
            </w:drawing>
          </mc:Choice>
          <mc:Fallback xmlns:a="http://schemas.openxmlformats.org/drawingml/2006/main">
            <w:pict>
              <v:group id="Group 14740" style="width:10.386pt;height:25.2pt;position:absolute;mso-position-horizontal-relative:text;mso-position-horizontal:absolute;margin-left:6.99999pt;mso-position-vertical-relative:text;margin-top:-1.40002pt;" coordsize="1319,3200">
                <v:rect id="Rectangle 124" style="position:absolute;width:1754;height:4256;left:0;top:0;" filled="f" stroked="f">
                  <v:textbox inset="0,0,0,0">
                    <w:txbxContent>
                      <w:p>
                        <w:pPr>
                          <w:spacing w:before="0" w:after="160" w:line="259" w:lineRule="auto"/>
                          <w:ind w:left="0" w:right="0" w:firstLine="0"/>
                          <w:jc w:val="left"/>
                        </w:pPr>
                        <w:r>
                          <w:rPr>
                            <w:rFonts w:cs="Calibri" w:hAnsi="Calibri" w:eastAsia="Calibri" w:ascii="Calibri"/>
                            <w:color w:val="004582"/>
                            <w:w w:val="113"/>
                            <w:sz w:val="36"/>
                          </w:rPr>
                          <w:t xml:space="preserve">2</w:t>
                        </w:r>
                      </w:p>
                    </w:txbxContent>
                  </v:textbox>
                </v:rect>
                <w10:wrap type="square"/>
              </v:group>
            </w:pict>
          </mc:Fallback>
        </mc:AlternateContent>
      </w:r>
      <w:r>
        <w:rPr>
          <w:b/>
          <w:sz w:val="20"/>
        </w:rPr>
        <w:t>FINANÇAS PÚBLICAS. ESTUDO ESPECIAL. AGÊNCIA DE DESENVOLVIMENTO DO DISTRITO FEDERAL - TERRACAP. EMPRESA PÚBLICA INDEPENDENTE. LRF. CLASSIFICAÇÃO DAS RECEITAS.</w:t>
      </w:r>
    </w:p>
    <w:p w14:paraId="6ACA5D9A" w14:textId="77777777" w:rsidR="00257A3E" w:rsidRDefault="00000000">
      <w:pPr>
        <w:spacing w:after="3" w:line="261" w:lineRule="auto"/>
        <w:ind w:left="810" w:right="0" w:hanging="10"/>
      </w:pPr>
      <w:r>
        <w:rPr>
          <w:b/>
          <w:sz w:val="20"/>
        </w:rPr>
        <w:lastRenderedPageBreak/>
        <w:t xml:space="preserve">VENDA DE IMÓVEIS. JUROS. ENTE CONTROLADOR. RECURSOS. DESPESA DE PESSOAL. CUSTEIO. </w:t>
      </w:r>
    </w:p>
    <w:p w14:paraId="7075BE20" w14:textId="77777777" w:rsidR="00257A3E" w:rsidRDefault="00000000">
      <w:pPr>
        <w:spacing w:after="0" w:line="259" w:lineRule="auto"/>
        <w:ind w:right="0" w:firstLine="0"/>
        <w:jc w:val="left"/>
      </w:pPr>
      <w:r>
        <w:rPr>
          <w:b/>
          <w:sz w:val="20"/>
        </w:rPr>
        <w:t>CAPITAL. NÃO UTILIZAÇÃO.</w:t>
      </w:r>
    </w:p>
    <w:p w14:paraId="700BC217" w14:textId="77777777" w:rsidR="00257A3E" w:rsidRDefault="00000000">
      <w:pPr>
        <w:ind w:left="785" w:right="79"/>
      </w:pPr>
      <w:r>
        <w:t>Estudo especial autuado para avaliar eventual dependência financeira da Terracap em relação ao Governo do Distrito Federal – GDF. Ponderou-se em Plenário que a empresa pública possui como uma de suas principais funções a geração de recursos para o investimento em infraestrutura econômica e social, com receitas geradas a partir de vendas imobiliárias e juros incidentes em parcelamentos, inexistindo aportes de recurso público do GDF para o seu custeio. Assim, o Tribunal, por unanimidade, decidiu ratificar o entendimento expresso no item II.a da Decisão n.º 3.570/2012, no sentido de se considerar a Terracap como empresa pública independente do GDF, bem como da União, em face daquela empresa pública não se enquadrar no conceito de empresa estatal dependente constante do art. 2º, inciso III, da LRF, por não haver indícios de que a empresa tenha utilizado recursos do ente controlador para pagamento de despesas de pessoal, custeio em geral ou capital.</w:t>
      </w:r>
    </w:p>
    <w:tbl>
      <w:tblPr>
        <w:tblStyle w:val="TableGrid"/>
        <w:tblW w:w="8337" w:type="dxa"/>
        <w:tblInd w:w="800" w:type="dxa"/>
        <w:tblCellMar>
          <w:top w:w="0" w:type="dxa"/>
          <w:left w:w="0" w:type="dxa"/>
          <w:bottom w:w="0" w:type="dxa"/>
          <w:right w:w="0" w:type="dxa"/>
        </w:tblCellMar>
        <w:tblLook w:val="04A0" w:firstRow="1" w:lastRow="0" w:firstColumn="1" w:lastColumn="0" w:noHBand="0" w:noVBand="1"/>
      </w:tblPr>
      <w:tblGrid>
        <w:gridCol w:w="4800"/>
        <w:gridCol w:w="3537"/>
      </w:tblGrid>
      <w:tr w:rsidR="00257A3E" w14:paraId="3F47F902" w14:textId="77777777">
        <w:trPr>
          <w:trHeight w:val="885"/>
        </w:trPr>
        <w:tc>
          <w:tcPr>
            <w:tcW w:w="4800" w:type="dxa"/>
            <w:tcBorders>
              <w:top w:val="nil"/>
              <w:left w:val="nil"/>
              <w:bottom w:val="nil"/>
              <w:right w:val="nil"/>
            </w:tcBorders>
          </w:tcPr>
          <w:p w14:paraId="0E21DEED" w14:textId="77777777" w:rsidR="00257A3E" w:rsidRDefault="00000000">
            <w:pPr>
              <w:spacing w:after="54" w:line="259" w:lineRule="auto"/>
              <w:ind w:left="0" w:right="0" w:firstLine="0"/>
              <w:jc w:val="left"/>
            </w:pPr>
            <w:r>
              <w:rPr>
                <w:b/>
                <w:sz w:val="20"/>
              </w:rPr>
              <w:t>Relator:</w:t>
            </w:r>
          </w:p>
          <w:p w14:paraId="4471D33C" w14:textId="77777777" w:rsidR="00257A3E" w:rsidRDefault="00000000">
            <w:pPr>
              <w:spacing w:after="153" w:line="259" w:lineRule="auto"/>
              <w:ind w:left="0" w:right="0" w:firstLine="0"/>
              <w:jc w:val="left"/>
            </w:pPr>
            <w:r>
              <w:rPr>
                <w:b/>
                <w:sz w:val="20"/>
              </w:rPr>
              <w:t>Inácio Magalhães Filho</w:t>
            </w:r>
          </w:p>
          <w:p w14:paraId="5DC173EB" w14:textId="77777777" w:rsidR="00257A3E" w:rsidRDefault="00000000">
            <w:pPr>
              <w:spacing w:after="0" w:line="259" w:lineRule="auto"/>
              <w:ind w:left="0" w:right="0" w:firstLine="0"/>
              <w:jc w:val="left"/>
            </w:pPr>
            <w:r>
              <w:rPr>
                <w:b/>
                <w:sz w:val="20"/>
              </w:rPr>
              <w:t>Decisão por unanimidade</w:t>
            </w:r>
          </w:p>
        </w:tc>
        <w:tc>
          <w:tcPr>
            <w:tcW w:w="3537" w:type="dxa"/>
            <w:tcBorders>
              <w:top w:val="nil"/>
              <w:left w:val="nil"/>
              <w:bottom w:val="nil"/>
              <w:right w:val="nil"/>
            </w:tcBorders>
          </w:tcPr>
          <w:p w14:paraId="6188F761" w14:textId="77777777" w:rsidR="00257A3E" w:rsidRDefault="00000000">
            <w:pPr>
              <w:spacing w:after="52" w:line="259" w:lineRule="auto"/>
              <w:ind w:left="0" w:right="0" w:firstLine="0"/>
              <w:jc w:val="left"/>
            </w:pPr>
            <w:r>
              <w:rPr>
                <w:b/>
                <w:sz w:val="20"/>
              </w:rPr>
              <w:t>Sessão:</w:t>
            </w:r>
          </w:p>
          <w:p w14:paraId="5E872B7D" w14:textId="77777777" w:rsidR="00257A3E" w:rsidRDefault="00000000">
            <w:pPr>
              <w:spacing w:after="152" w:line="259" w:lineRule="auto"/>
              <w:ind w:left="0" w:right="0" w:firstLine="0"/>
              <w:jc w:val="left"/>
            </w:pPr>
            <w:r>
              <w:rPr>
                <w:b/>
                <w:sz w:val="20"/>
              </w:rPr>
              <w:t>ORDINÁRIA nº 5422, de 14/05/2025.</w:t>
            </w:r>
          </w:p>
          <w:p w14:paraId="029C3FCB" w14:textId="77777777" w:rsidR="00257A3E" w:rsidRDefault="00000000">
            <w:pPr>
              <w:spacing w:after="0" w:line="259" w:lineRule="auto"/>
              <w:ind w:left="0" w:right="0" w:firstLine="0"/>
            </w:pPr>
            <w:r>
              <w:rPr>
                <w:color w:val="2205FC"/>
                <w:sz w:val="20"/>
                <w:u w:val="single" w:color="2205FC"/>
              </w:rPr>
              <w:t>Proc. nº 4714/2019 - Dec. nº 1648/2025</w:t>
            </w:r>
          </w:p>
        </w:tc>
      </w:tr>
    </w:tbl>
    <w:p w14:paraId="4728864A" w14:textId="77777777" w:rsidR="00257A3E" w:rsidRDefault="00000000">
      <w:pPr>
        <w:spacing w:after="155" w:line="261" w:lineRule="auto"/>
        <w:ind w:left="790" w:right="0" w:hanging="10"/>
      </w:pPr>
      <w:r>
        <w:rPr>
          <w:b/>
          <w:sz w:val="20"/>
        </w:rPr>
        <w:t>Decisões relacionadas:</w:t>
      </w:r>
    </w:p>
    <w:p w14:paraId="78B49713" w14:textId="77777777" w:rsidR="00257A3E" w:rsidRDefault="00000000">
      <w:pPr>
        <w:spacing w:after="167" w:line="259" w:lineRule="auto"/>
        <w:ind w:left="810" w:right="0" w:hanging="10"/>
        <w:jc w:val="left"/>
      </w:pPr>
      <w:r>
        <w:rPr>
          <w:color w:val="2205FC"/>
          <w:sz w:val="20"/>
          <w:u w:val="single" w:color="2205FC"/>
        </w:rPr>
        <w:t>TCDF: Decisão nº 3218/2018</w:t>
      </w:r>
    </w:p>
    <w:p w14:paraId="4314BE12" w14:textId="77777777" w:rsidR="00257A3E" w:rsidRDefault="00000000">
      <w:pPr>
        <w:spacing w:after="167" w:line="259" w:lineRule="auto"/>
        <w:ind w:left="810" w:right="0" w:hanging="10"/>
        <w:jc w:val="left"/>
      </w:pPr>
      <w:r>
        <w:rPr>
          <w:color w:val="2205FC"/>
          <w:sz w:val="20"/>
          <w:u w:val="single" w:color="2205FC"/>
        </w:rPr>
        <w:t>TCDF: Decisão nº 3598/2022</w:t>
      </w:r>
    </w:p>
    <w:p w14:paraId="0DCC9049" w14:textId="77777777" w:rsidR="00257A3E" w:rsidRDefault="00000000">
      <w:pPr>
        <w:spacing w:after="167" w:line="259" w:lineRule="auto"/>
        <w:ind w:left="810" w:right="0" w:hanging="10"/>
        <w:jc w:val="left"/>
      </w:pPr>
      <w:r>
        <w:rPr>
          <w:color w:val="2205FC"/>
          <w:sz w:val="20"/>
          <w:u w:val="single" w:color="2205FC"/>
        </w:rPr>
        <w:t>TCDF: Decisão nº 3570/2012</w:t>
      </w:r>
    </w:p>
    <w:p w14:paraId="7BC7E887" w14:textId="77777777" w:rsidR="00257A3E" w:rsidRDefault="00000000">
      <w:pPr>
        <w:spacing w:after="155" w:line="261" w:lineRule="auto"/>
        <w:ind w:left="810" w:right="0" w:hanging="10"/>
      </w:pPr>
      <w:r>
        <w:rPr>
          <w:b/>
          <w:sz w:val="20"/>
        </w:rPr>
        <w:t>Precedentes externos:</w:t>
      </w:r>
    </w:p>
    <w:p w14:paraId="3F308319" w14:textId="77777777" w:rsidR="00257A3E" w:rsidRDefault="00000000">
      <w:pPr>
        <w:spacing w:after="167" w:line="259" w:lineRule="auto"/>
        <w:ind w:left="810" w:right="0" w:hanging="10"/>
        <w:jc w:val="left"/>
      </w:pPr>
      <w:r>
        <w:rPr>
          <w:color w:val="2205FC"/>
          <w:sz w:val="20"/>
          <w:u w:val="single" w:color="2205FC"/>
        </w:rPr>
        <w:t>Decisão TCU nº Acórdão 937/2019 - Plenário</w:t>
      </w:r>
      <w:r>
        <w:rPr>
          <w:color w:val="2205FC"/>
          <w:sz w:val="20"/>
        </w:rPr>
        <w:t xml:space="preserve"> </w:t>
      </w:r>
    </w:p>
    <w:p w14:paraId="432219E4" w14:textId="77777777" w:rsidR="00257A3E" w:rsidRDefault="00000000">
      <w:pPr>
        <w:spacing w:after="212" w:line="259" w:lineRule="auto"/>
        <w:ind w:left="810" w:right="0" w:hanging="10"/>
        <w:jc w:val="left"/>
      </w:pPr>
      <w:r>
        <w:rPr>
          <w:color w:val="2205FC"/>
          <w:sz w:val="20"/>
          <w:u w:val="single" w:color="2205FC"/>
        </w:rPr>
        <w:t>Decisão TCU nº Acórdão 516/2025 - Plenário</w:t>
      </w:r>
    </w:p>
    <w:p w14:paraId="0E48286E" w14:textId="77777777" w:rsidR="00257A3E" w:rsidRDefault="00000000">
      <w:pPr>
        <w:spacing w:after="155" w:line="261" w:lineRule="auto"/>
        <w:ind w:left="810" w:right="0" w:hanging="10"/>
      </w:pPr>
      <w:r>
        <w:rPr>
          <w:b/>
          <w:sz w:val="20"/>
        </w:rPr>
        <w:t>Legislação relacionada:</w:t>
      </w:r>
    </w:p>
    <w:p w14:paraId="0143CD52" w14:textId="77777777" w:rsidR="00257A3E" w:rsidRDefault="00000000">
      <w:pPr>
        <w:spacing w:after="167" w:line="259" w:lineRule="auto"/>
        <w:ind w:left="810" w:right="0" w:hanging="10"/>
        <w:jc w:val="left"/>
      </w:pPr>
      <w:r>
        <w:rPr>
          <w:color w:val="2205FC"/>
          <w:sz w:val="20"/>
          <w:u w:val="single" w:color="2205FC"/>
        </w:rPr>
        <w:t>Lei nº 5861/1972.</w:t>
      </w:r>
    </w:p>
    <w:p w14:paraId="21286F99" w14:textId="77777777" w:rsidR="00257A3E" w:rsidRDefault="00000000">
      <w:pPr>
        <w:spacing w:after="167" w:line="259" w:lineRule="auto"/>
        <w:ind w:left="810" w:right="0" w:hanging="10"/>
        <w:jc w:val="left"/>
      </w:pPr>
      <w:r>
        <w:rPr>
          <w:color w:val="2205FC"/>
          <w:sz w:val="20"/>
          <w:u w:val="single" w:color="2205FC"/>
        </w:rPr>
        <w:t>Lei Complementar nº 101/2000, Art. 2º.</w:t>
      </w:r>
      <w:r>
        <w:rPr>
          <w:color w:val="2205FC"/>
          <w:sz w:val="20"/>
        </w:rPr>
        <w:t xml:space="preserve"> </w:t>
      </w:r>
    </w:p>
    <w:p w14:paraId="274E0BE3" w14:textId="77777777" w:rsidR="00257A3E" w:rsidRDefault="00000000">
      <w:pPr>
        <w:spacing w:after="167" w:line="259" w:lineRule="auto"/>
        <w:ind w:left="810" w:right="0" w:hanging="10"/>
        <w:jc w:val="left"/>
      </w:pPr>
      <w:r>
        <w:rPr>
          <w:color w:val="2205FC"/>
          <w:sz w:val="20"/>
          <w:u w:val="single" w:color="2205FC"/>
        </w:rPr>
        <w:t>Decreto nº 10690/2021.</w:t>
      </w:r>
    </w:p>
    <w:p w14:paraId="782AD77E" w14:textId="77777777" w:rsidR="00257A3E" w:rsidRDefault="00000000">
      <w:pPr>
        <w:pStyle w:val="Ttulo3"/>
      </w:pPr>
      <w:r>
        <w:lastRenderedPageBreak/>
        <w:t>Gestão Pública</w:t>
      </w:r>
    </w:p>
    <w:p w14:paraId="1E9A0508" w14:textId="77777777" w:rsidR="00257A3E" w:rsidRDefault="00000000">
      <w:pPr>
        <w:spacing w:after="21" w:line="261" w:lineRule="auto"/>
        <w:ind w:left="140" w:right="0" w:firstLine="500"/>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27516A5B" wp14:editId="7969F48E">
                <wp:simplePos x="0" y="0"/>
                <wp:positionH relativeFrom="column">
                  <wp:posOffset>88900</wp:posOffset>
                </wp:positionH>
                <wp:positionV relativeFrom="paragraph">
                  <wp:posOffset>-25399</wp:posOffset>
                </wp:positionV>
                <wp:extent cx="135788" cy="320040"/>
                <wp:effectExtent l="0" t="0" r="0" b="0"/>
                <wp:wrapSquare wrapText="bothSides"/>
                <wp:docPr id="14741" name="Group 14741"/>
                <wp:cNvGraphicFramePr/>
                <a:graphic xmlns:a="http://schemas.openxmlformats.org/drawingml/2006/main">
                  <a:graphicData uri="http://schemas.microsoft.com/office/word/2010/wordprocessingGroup">
                    <wpg:wgp>
                      <wpg:cNvGrpSpPr/>
                      <wpg:grpSpPr>
                        <a:xfrm>
                          <a:off x="0" y="0"/>
                          <a:ext cx="135788" cy="320040"/>
                          <a:chOff x="0" y="0"/>
                          <a:chExt cx="135788" cy="320040"/>
                        </a:xfrm>
                      </wpg:grpSpPr>
                      <wps:wsp>
                        <wps:cNvPr id="196" name="Rectangle 196"/>
                        <wps:cNvSpPr/>
                        <wps:spPr>
                          <a:xfrm>
                            <a:off x="0" y="0"/>
                            <a:ext cx="180599" cy="425653"/>
                          </a:xfrm>
                          <a:prstGeom prst="rect">
                            <a:avLst/>
                          </a:prstGeom>
                          <a:ln>
                            <a:noFill/>
                          </a:ln>
                        </wps:spPr>
                        <wps:txbx>
                          <w:txbxContent>
                            <w:p w14:paraId="12958B57" w14:textId="77777777" w:rsidR="00257A3E" w:rsidRDefault="00000000">
                              <w:pPr>
                                <w:spacing w:after="160" w:line="259" w:lineRule="auto"/>
                                <w:ind w:left="0" w:right="0" w:firstLine="0"/>
                                <w:jc w:val="left"/>
                              </w:pPr>
                              <w:r>
                                <w:rPr>
                                  <w:rFonts w:ascii="Calibri" w:eastAsia="Calibri" w:hAnsi="Calibri" w:cs="Calibri"/>
                                  <w:color w:val="C45911"/>
                                  <w:w w:val="117"/>
                                  <w:sz w:val="36"/>
                                </w:rPr>
                                <w:t>3</w:t>
                              </w:r>
                            </w:p>
                          </w:txbxContent>
                        </wps:txbx>
                        <wps:bodyPr horzOverflow="overflow" vert="horz" lIns="0" tIns="0" rIns="0" bIns="0" rtlCol="0">
                          <a:noAutofit/>
                        </wps:bodyPr>
                      </wps:wsp>
                    </wpg:wgp>
                  </a:graphicData>
                </a:graphic>
              </wp:anchor>
            </w:drawing>
          </mc:Choice>
          <mc:Fallback xmlns:a="http://schemas.openxmlformats.org/drawingml/2006/main">
            <w:pict>
              <v:group id="Group 14741" style="width:10.692pt;height:25.2pt;position:absolute;mso-position-horizontal-relative:text;mso-position-horizontal:absolute;margin-left:6.99999pt;mso-position-vertical-relative:text;margin-top:-2pt;" coordsize="1357,3200">
                <v:rect id="Rectangle 196" style="position:absolute;width:1805;height:4256;left:0;top:0;" filled="f" stroked="f">
                  <v:textbox inset="0,0,0,0">
                    <w:txbxContent>
                      <w:p>
                        <w:pPr>
                          <w:spacing w:before="0" w:after="160" w:line="259" w:lineRule="auto"/>
                          <w:ind w:left="0" w:right="0" w:firstLine="0"/>
                          <w:jc w:val="left"/>
                        </w:pPr>
                        <w:r>
                          <w:rPr>
                            <w:rFonts w:cs="Calibri" w:hAnsi="Calibri" w:eastAsia="Calibri" w:ascii="Calibri"/>
                            <w:color w:val="c45911"/>
                            <w:w w:val="117"/>
                            <w:sz w:val="36"/>
                          </w:rPr>
                          <w:t xml:space="preserve">3</w:t>
                        </w:r>
                      </w:p>
                    </w:txbxContent>
                  </v:textbox>
                </v:rect>
                <w10:wrap type="square"/>
              </v:group>
            </w:pict>
          </mc:Fallback>
        </mc:AlternateContent>
      </w:r>
      <w:r>
        <w:rPr>
          <w:b/>
          <w:sz w:val="20"/>
        </w:rPr>
        <w:t>GESTÃO PÚBLICA. LICITAÇÃO E CONTRATO. REPRESENTAÇÃO. LEI DISTRITAL Nº 6.128/2018. REGULAMENTAÇÃO. SERVIÇOS E OBRAS PÚBLICAS. EDITAL DE LICTAÇÃO. RESERVA DE VAGAS.</w:t>
      </w:r>
    </w:p>
    <w:p w14:paraId="15BFD6B4" w14:textId="77777777" w:rsidR="00257A3E" w:rsidRDefault="00000000">
      <w:pPr>
        <w:tabs>
          <w:tab w:val="center" w:pos="1217"/>
          <w:tab w:val="center" w:pos="2156"/>
          <w:tab w:val="center" w:pos="3200"/>
          <w:tab w:val="center" w:pos="4234"/>
          <w:tab w:val="center" w:pos="4989"/>
          <w:tab w:val="center" w:pos="6072"/>
          <w:tab w:val="center" w:pos="7383"/>
          <w:tab w:val="center" w:pos="9139"/>
        </w:tabs>
        <w:spacing w:after="0" w:line="261" w:lineRule="auto"/>
        <w:ind w:left="0" w:right="0" w:firstLine="0"/>
        <w:jc w:val="left"/>
      </w:pPr>
      <w:r>
        <w:rPr>
          <w:rFonts w:ascii="Calibri" w:eastAsia="Calibri" w:hAnsi="Calibri" w:cs="Calibri"/>
          <w:sz w:val="22"/>
        </w:rPr>
        <w:tab/>
      </w:r>
      <w:r>
        <w:rPr>
          <w:b/>
          <w:sz w:val="20"/>
        </w:rPr>
        <w:t xml:space="preserve">PESSOA </w:t>
      </w:r>
      <w:r>
        <w:rPr>
          <w:b/>
          <w:sz w:val="20"/>
        </w:rPr>
        <w:tab/>
        <w:t xml:space="preserve">EM </w:t>
      </w:r>
      <w:r>
        <w:rPr>
          <w:b/>
          <w:sz w:val="20"/>
        </w:rPr>
        <w:tab/>
        <w:t xml:space="preserve">SITUAÇÃO </w:t>
      </w:r>
      <w:r>
        <w:rPr>
          <w:b/>
          <w:sz w:val="20"/>
        </w:rPr>
        <w:tab/>
        <w:t xml:space="preserve">DE </w:t>
      </w:r>
      <w:r>
        <w:rPr>
          <w:b/>
          <w:sz w:val="20"/>
        </w:rPr>
        <w:tab/>
        <w:t xml:space="preserve">RUA. </w:t>
      </w:r>
      <w:r>
        <w:rPr>
          <w:b/>
          <w:sz w:val="20"/>
        </w:rPr>
        <w:tab/>
        <w:t xml:space="preserve">POLÍTICA </w:t>
      </w:r>
      <w:r>
        <w:rPr>
          <w:b/>
          <w:sz w:val="20"/>
        </w:rPr>
        <w:tab/>
        <w:t xml:space="preserve">PÚBLICA. </w:t>
      </w:r>
      <w:r>
        <w:rPr>
          <w:b/>
          <w:sz w:val="20"/>
        </w:rPr>
        <w:tab/>
        <w:t>IMPLEMENTAÇÃO.</w:t>
      </w:r>
    </w:p>
    <w:p w14:paraId="7B9C8636" w14:textId="77777777" w:rsidR="00257A3E" w:rsidRDefault="00000000">
      <w:pPr>
        <w:spacing w:after="30"/>
        <w:ind w:left="785" w:right="0"/>
      </w:pPr>
      <w:r>
        <w:t>Representação acerca de suposta irregularidade na condução de procedimentos licitatórios por órgãos e entidades distritais por inobservância ao art. 1º da Lei Distrital n.º 6.128/2018, que estabelece a obrigatoriedade de reserva do percentual de 2% de vagas de trabalho nas licitações de serviços e obras públicas distritais, a ser destinado a pessoas em situação de rua. Ponderou-se que a citada norma foi efetivamente regulamentada pelo Decreto Distrital n.º 45.846/2024 e pela Portaria Conjunta n.º 02/2025, não havendo óbices para a implementação da política pública às licitações processadas pelo Governo do Distrito Federal. Assim, o Tribunal, por unanimidade, decidiu determinar à Secretaria de Estado de Desenvolvimento Social do Distrito Federal - Sedes/DF, à Secretaria de Estado de Governo do Distrito Federal - Segov/DF e à Secretaria de Desenvolvimento Econômico, Trabalho e Renda do Distrito Federal - Sedet/DF que, no âmbito de suas competências, efetivem o cumprimento da Lei Distrital nº 6.128/2018, esclarecendo ao Tribunal as medidas adotadas para tanto, no prazo de 120 (cento e vinte) dias.</w:t>
      </w:r>
    </w:p>
    <w:tbl>
      <w:tblPr>
        <w:tblStyle w:val="TableGrid"/>
        <w:tblW w:w="8448" w:type="dxa"/>
        <w:tblInd w:w="800" w:type="dxa"/>
        <w:tblCellMar>
          <w:top w:w="0" w:type="dxa"/>
          <w:left w:w="0" w:type="dxa"/>
          <w:bottom w:w="0" w:type="dxa"/>
          <w:right w:w="0" w:type="dxa"/>
        </w:tblCellMar>
        <w:tblLook w:val="04A0" w:firstRow="1" w:lastRow="0" w:firstColumn="1" w:lastColumn="0" w:noHBand="0" w:noVBand="1"/>
      </w:tblPr>
      <w:tblGrid>
        <w:gridCol w:w="4035"/>
        <w:gridCol w:w="4413"/>
      </w:tblGrid>
      <w:tr w:rsidR="00257A3E" w14:paraId="69A3A194" w14:textId="77777777">
        <w:trPr>
          <w:trHeight w:val="593"/>
        </w:trPr>
        <w:tc>
          <w:tcPr>
            <w:tcW w:w="4035" w:type="dxa"/>
            <w:tcBorders>
              <w:top w:val="nil"/>
              <w:left w:val="nil"/>
              <w:bottom w:val="nil"/>
              <w:right w:val="nil"/>
            </w:tcBorders>
          </w:tcPr>
          <w:p w14:paraId="3ED5C91E" w14:textId="77777777" w:rsidR="00257A3E" w:rsidRDefault="00000000">
            <w:pPr>
              <w:spacing w:after="52" w:line="259" w:lineRule="auto"/>
              <w:ind w:left="0" w:right="0" w:firstLine="0"/>
              <w:jc w:val="left"/>
            </w:pPr>
            <w:r>
              <w:rPr>
                <w:b/>
                <w:sz w:val="20"/>
              </w:rPr>
              <w:t>Relator:</w:t>
            </w:r>
          </w:p>
          <w:p w14:paraId="2A915559" w14:textId="77777777" w:rsidR="00257A3E" w:rsidRDefault="00000000">
            <w:pPr>
              <w:spacing w:after="0" w:line="259" w:lineRule="auto"/>
              <w:ind w:left="0" w:right="0" w:firstLine="0"/>
              <w:jc w:val="left"/>
            </w:pPr>
            <w:r>
              <w:rPr>
                <w:b/>
                <w:sz w:val="20"/>
              </w:rPr>
              <w:t>Inácio Magalhães Filho</w:t>
            </w:r>
          </w:p>
        </w:tc>
        <w:tc>
          <w:tcPr>
            <w:tcW w:w="4413" w:type="dxa"/>
            <w:tcBorders>
              <w:top w:val="nil"/>
              <w:left w:val="nil"/>
              <w:bottom w:val="nil"/>
              <w:right w:val="nil"/>
            </w:tcBorders>
          </w:tcPr>
          <w:p w14:paraId="2483FBD2" w14:textId="77777777" w:rsidR="00257A3E" w:rsidRDefault="00000000">
            <w:pPr>
              <w:spacing w:after="52" w:line="259" w:lineRule="auto"/>
              <w:ind w:left="765" w:right="0" w:firstLine="0"/>
              <w:jc w:val="left"/>
            </w:pPr>
            <w:r>
              <w:rPr>
                <w:b/>
                <w:sz w:val="20"/>
              </w:rPr>
              <w:t>Sessão:</w:t>
            </w:r>
          </w:p>
          <w:p w14:paraId="76605B83" w14:textId="77777777" w:rsidR="00257A3E" w:rsidRDefault="00000000">
            <w:pPr>
              <w:spacing w:after="0" w:line="259" w:lineRule="auto"/>
              <w:ind w:left="765" w:right="0" w:firstLine="0"/>
              <w:jc w:val="left"/>
            </w:pPr>
            <w:r>
              <w:rPr>
                <w:b/>
                <w:sz w:val="20"/>
              </w:rPr>
              <w:t>ORDINÁRIA nº 5426, de 11/06/2025.</w:t>
            </w:r>
          </w:p>
        </w:tc>
      </w:tr>
      <w:tr w:rsidR="00257A3E" w14:paraId="664BAE67" w14:textId="77777777">
        <w:trPr>
          <w:trHeight w:val="293"/>
        </w:trPr>
        <w:tc>
          <w:tcPr>
            <w:tcW w:w="4035" w:type="dxa"/>
            <w:tcBorders>
              <w:top w:val="nil"/>
              <w:left w:val="nil"/>
              <w:bottom w:val="nil"/>
              <w:right w:val="nil"/>
            </w:tcBorders>
            <w:vAlign w:val="bottom"/>
          </w:tcPr>
          <w:p w14:paraId="457AA7AC" w14:textId="77777777" w:rsidR="00257A3E" w:rsidRDefault="00000000">
            <w:pPr>
              <w:spacing w:after="0" w:line="259" w:lineRule="auto"/>
              <w:ind w:left="0" w:right="0" w:firstLine="0"/>
              <w:jc w:val="left"/>
            </w:pPr>
            <w:r>
              <w:rPr>
                <w:b/>
                <w:sz w:val="20"/>
              </w:rPr>
              <w:t>Decisão por unanimidade</w:t>
            </w:r>
          </w:p>
        </w:tc>
        <w:tc>
          <w:tcPr>
            <w:tcW w:w="4413" w:type="dxa"/>
            <w:tcBorders>
              <w:top w:val="nil"/>
              <w:left w:val="nil"/>
              <w:bottom w:val="nil"/>
              <w:right w:val="nil"/>
            </w:tcBorders>
            <w:vAlign w:val="bottom"/>
          </w:tcPr>
          <w:p w14:paraId="0D7F4376" w14:textId="77777777" w:rsidR="00257A3E" w:rsidRDefault="00000000">
            <w:pPr>
              <w:spacing w:after="0" w:line="259" w:lineRule="auto"/>
              <w:ind w:left="0" w:right="0" w:firstLine="0"/>
              <w:jc w:val="right"/>
            </w:pPr>
            <w:r>
              <w:rPr>
                <w:color w:val="2205FC"/>
                <w:sz w:val="20"/>
                <w:u w:val="single" w:color="2205FC"/>
              </w:rPr>
              <w:t>Proc. nº 15397/2023 - Dec. nº 2125/2025</w:t>
            </w:r>
          </w:p>
        </w:tc>
      </w:tr>
    </w:tbl>
    <w:p w14:paraId="006E8987" w14:textId="77777777" w:rsidR="00257A3E" w:rsidRDefault="00000000">
      <w:pPr>
        <w:spacing w:after="155" w:line="261" w:lineRule="auto"/>
        <w:ind w:left="810" w:right="0" w:hanging="10"/>
      </w:pPr>
      <w:r>
        <w:rPr>
          <w:b/>
          <w:sz w:val="20"/>
        </w:rPr>
        <w:t>Legislação relacionada:</w:t>
      </w:r>
    </w:p>
    <w:p w14:paraId="2B9EA6EF" w14:textId="77777777" w:rsidR="00257A3E" w:rsidRDefault="00000000">
      <w:pPr>
        <w:spacing w:after="167" w:line="259" w:lineRule="auto"/>
        <w:ind w:left="810" w:right="0" w:hanging="10"/>
        <w:jc w:val="left"/>
      </w:pPr>
      <w:r>
        <w:rPr>
          <w:color w:val="2205FC"/>
          <w:sz w:val="20"/>
          <w:u w:val="single" w:color="2205FC"/>
        </w:rPr>
        <w:t>Lei nº 6128/2018, Art. 1º.</w:t>
      </w:r>
    </w:p>
    <w:p w14:paraId="0076DCB8" w14:textId="77777777" w:rsidR="00257A3E" w:rsidRDefault="00000000">
      <w:pPr>
        <w:spacing w:after="383" w:line="259" w:lineRule="auto"/>
        <w:ind w:left="810" w:right="0" w:hanging="10"/>
        <w:jc w:val="left"/>
      </w:pPr>
      <w:r>
        <w:rPr>
          <w:color w:val="2205FC"/>
          <w:sz w:val="20"/>
          <w:u w:val="single" w:color="2205FC"/>
        </w:rPr>
        <w:t>Decreto nº 45846/2024</w:t>
      </w:r>
    </w:p>
    <w:p w14:paraId="6AFE3F2B" w14:textId="77777777" w:rsidR="00257A3E" w:rsidRDefault="00000000">
      <w:pPr>
        <w:pStyle w:val="Ttulo4"/>
      </w:pPr>
      <w:r>
        <w:t>Licitações e Contratos</w:t>
      </w:r>
    </w:p>
    <w:p w14:paraId="36CA3F49" w14:textId="77777777" w:rsidR="00257A3E" w:rsidRDefault="00000000">
      <w:pPr>
        <w:spacing w:after="0" w:line="261" w:lineRule="auto"/>
        <w:ind w:left="140" w:right="0" w:firstLine="500"/>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70D7E112" wp14:editId="24E2688D">
                <wp:simplePos x="0" y="0"/>
                <wp:positionH relativeFrom="column">
                  <wp:posOffset>88900</wp:posOffset>
                </wp:positionH>
                <wp:positionV relativeFrom="paragraph">
                  <wp:posOffset>-17771</wp:posOffset>
                </wp:positionV>
                <wp:extent cx="147904" cy="320040"/>
                <wp:effectExtent l="0" t="0" r="0" b="0"/>
                <wp:wrapSquare wrapText="bothSides"/>
                <wp:docPr id="14742" name="Group 14742"/>
                <wp:cNvGraphicFramePr/>
                <a:graphic xmlns:a="http://schemas.openxmlformats.org/drawingml/2006/main">
                  <a:graphicData uri="http://schemas.microsoft.com/office/word/2010/wordprocessingGroup">
                    <wpg:wgp>
                      <wpg:cNvGrpSpPr/>
                      <wpg:grpSpPr>
                        <a:xfrm>
                          <a:off x="0" y="0"/>
                          <a:ext cx="147904" cy="320040"/>
                          <a:chOff x="0" y="0"/>
                          <a:chExt cx="147904" cy="320040"/>
                        </a:xfrm>
                      </wpg:grpSpPr>
                      <wps:wsp>
                        <wps:cNvPr id="229" name="Rectangle 229"/>
                        <wps:cNvSpPr/>
                        <wps:spPr>
                          <a:xfrm>
                            <a:off x="0" y="0"/>
                            <a:ext cx="196713" cy="425653"/>
                          </a:xfrm>
                          <a:prstGeom prst="rect">
                            <a:avLst/>
                          </a:prstGeom>
                          <a:ln>
                            <a:noFill/>
                          </a:ln>
                        </wps:spPr>
                        <wps:txbx>
                          <w:txbxContent>
                            <w:p w14:paraId="7CBC9E0D" w14:textId="77777777" w:rsidR="00257A3E" w:rsidRDefault="00000000">
                              <w:pPr>
                                <w:spacing w:after="160" w:line="259" w:lineRule="auto"/>
                                <w:ind w:left="0" w:right="0" w:firstLine="0"/>
                                <w:jc w:val="left"/>
                              </w:pPr>
                              <w:r>
                                <w:rPr>
                                  <w:rFonts w:ascii="Calibri" w:eastAsia="Calibri" w:hAnsi="Calibri" w:cs="Calibri"/>
                                  <w:color w:val="F6A700"/>
                                  <w:w w:val="127"/>
                                  <w:sz w:val="36"/>
                                </w:rPr>
                                <w:t>4</w:t>
                              </w:r>
                            </w:p>
                          </w:txbxContent>
                        </wps:txbx>
                        <wps:bodyPr horzOverflow="overflow" vert="horz" lIns="0" tIns="0" rIns="0" bIns="0" rtlCol="0">
                          <a:noAutofit/>
                        </wps:bodyPr>
                      </wps:wsp>
                    </wpg:wgp>
                  </a:graphicData>
                </a:graphic>
              </wp:anchor>
            </w:drawing>
          </mc:Choice>
          <mc:Fallback xmlns:a="http://schemas.openxmlformats.org/drawingml/2006/main">
            <w:pict>
              <v:group id="Group 14742" style="width:11.646pt;height:25.2pt;position:absolute;mso-position-horizontal-relative:text;mso-position-horizontal:absolute;margin-left:7pt;mso-position-vertical-relative:text;margin-top:-1.39935pt;" coordsize="1479,3200">
                <v:rect id="Rectangle 229" style="position:absolute;width:1967;height:4256;left:0;top:0;" filled="f" stroked="f">
                  <v:textbox inset="0,0,0,0">
                    <w:txbxContent>
                      <w:p>
                        <w:pPr>
                          <w:spacing w:before="0" w:after="160" w:line="259" w:lineRule="auto"/>
                          <w:ind w:left="0" w:right="0" w:firstLine="0"/>
                          <w:jc w:val="left"/>
                        </w:pPr>
                        <w:r>
                          <w:rPr>
                            <w:rFonts w:cs="Calibri" w:hAnsi="Calibri" w:eastAsia="Calibri" w:ascii="Calibri"/>
                            <w:color w:val="f6a700"/>
                            <w:w w:val="127"/>
                            <w:sz w:val="36"/>
                          </w:rPr>
                          <w:t xml:space="preserve">4</w:t>
                        </w:r>
                      </w:p>
                    </w:txbxContent>
                  </v:textbox>
                </v:rect>
                <w10:wrap type="square"/>
              </v:group>
            </w:pict>
          </mc:Fallback>
        </mc:AlternateContent>
      </w:r>
      <w:r>
        <w:rPr>
          <w:b/>
          <w:sz w:val="20"/>
        </w:rPr>
        <w:t>LICITAÇÃO. REPRESENTAÇÃO. CHAMAMENTO PÚBLICO. LOCAÇÃO DE BEM IMÓVEL. CONTRATAÇÃO. LICITAÇÃO. PREFERÊNCIA. INEXIGIBILIDADE DE LICITAÇÃO. JUSTIFICATIVA. POSSIBILIDADE.</w:t>
      </w:r>
    </w:p>
    <w:p w14:paraId="07EA9516" w14:textId="77777777" w:rsidR="00257A3E" w:rsidRDefault="00000000">
      <w:pPr>
        <w:ind w:left="785" w:right="0"/>
      </w:pPr>
      <w:r>
        <w:t xml:space="preserve">Representação acerca de possíveis irregularidades no Edital de Chamamento Público visando à contratação de serviço de locação de imóvel por jurisdicionado. O Tribunal considerou a Representação improcedente, destacando que se trata de decisão discricionária do jurisdicionado, pautada em justificativas plausíveis, inclusive relacionadas à otimização dos serviços prestados. Entretanto, o Ministério Público de Contas - MPC divergiu quanto à contratação direta realizada no Edital de Chamamento Público </w:t>
      </w:r>
      <w:r>
        <w:lastRenderedPageBreak/>
        <w:t>para a Locação de Imóvel. Segundo o MPC, nos termos do art. 74, caput, inciso V e §5º da Lei nº 14.133/2021, a locação direta de bem imóvel, via inexigibilidade de licitação, é autorizada quando inviável a competição e quando as características de instalações e de localização tornarem essenciais à sua escolha. Apesar disso, a Corte considerou que a opção pela locação do imóvel apresenta justificativa fundamentada, com base nos estudos técnicos e no levantamento de mercado realizados. Outrossim, considerando o caráter pedagógico desta Corte de Contas, e objetivando aprimorar e assegurar a conformidade da contratação com as normas vigentes, o Tribunal decidiu esclarecer ao Complexo Administrativo do Distrito Federal a respeito da necessidade de os contratos de locação de imóveis da Administração Pública Distrital observarem as disposições da Lei nº 14.133/2021, sendo celebrados preferencialmente por licitação, conforme disposto no art. 51, ou mediante inexigibilidade de licitação, desde que atendidos os requisitos previstos no art. 74, inciso V, § 5º, da referida norma.</w:t>
      </w:r>
    </w:p>
    <w:p w14:paraId="4D661DFF" w14:textId="77777777" w:rsidR="00257A3E" w:rsidRDefault="00257A3E">
      <w:pPr>
        <w:sectPr w:rsidR="00257A3E">
          <w:type w:val="continuous"/>
          <w:pgSz w:w="11900" w:h="16840"/>
          <w:pgMar w:top="426" w:right="320" w:bottom="7231" w:left="400" w:header="720" w:footer="720" w:gutter="0"/>
          <w:cols w:space="720"/>
        </w:sectPr>
      </w:pPr>
    </w:p>
    <w:p w14:paraId="61999188" w14:textId="77777777" w:rsidR="00257A3E" w:rsidRDefault="00000000">
      <w:pPr>
        <w:spacing w:after="50" w:line="261" w:lineRule="auto"/>
        <w:ind w:left="18" w:right="0" w:hanging="10"/>
      </w:pPr>
      <w:r>
        <w:rPr>
          <w:b/>
          <w:sz w:val="20"/>
        </w:rPr>
        <w:t>Relator:</w:t>
      </w:r>
    </w:p>
    <w:p w14:paraId="5B70FCB3" w14:textId="77777777" w:rsidR="00257A3E" w:rsidRDefault="00000000">
      <w:pPr>
        <w:spacing w:after="155" w:line="261" w:lineRule="auto"/>
        <w:ind w:left="18" w:right="0" w:hanging="10"/>
      </w:pPr>
      <w:r>
        <w:rPr>
          <w:b/>
          <w:sz w:val="20"/>
        </w:rPr>
        <w:t>Paulo Tadeu Vale Da Silva</w:t>
      </w:r>
    </w:p>
    <w:p w14:paraId="189B4741" w14:textId="77777777" w:rsidR="00257A3E" w:rsidRDefault="00000000">
      <w:pPr>
        <w:spacing w:after="470" w:line="261" w:lineRule="auto"/>
        <w:ind w:left="18" w:right="0" w:hanging="10"/>
      </w:pPr>
      <w:r>
        <w:rPr>
          <w:b/>
          <w:sz w:val="20"/>
        </w:rPr>
        <w:t>Decisão por maioria</w:t>
      </w:r>
    </w:p>
    <w:p w14:paraId="1809557E" w14:textId="77777777" w:rsidR="00257A3E" w:rsidRDefault="00000000">
      <w:pPr>
        <w:spacing w:after="155" w:line="261" w:lineRule="auto"/>
        <w:ind w:left="18" w:right="0" w:hanging="10"/>
      </w:pPr>
      <w:r>
        <w:rPr>
          <w:b/>
          <w:sz w:val="20"/>
        </w:rPr>
        <w:t>Legislação relacionada:</w:t>
      </w:r>
    </w:p>
    <w:p w14:paraId="39218430" w14:textId="77777777" w:rsidR="00257A3E" w:rsidRDefault="00000000">
      <w:pPr>
        <w:spacing w:after="167" w:line="259" w:lineRule="auto"/>
        <w:ind w:left="18" w:right="0" w:hanging="10"/>
        <w:jc w:val="left"/>
      </w:pPr>
      <w:r>
        <w:rPr>
          <w:color w:val="2205FC"/>
          <w:sz w:val="20"/>
          <w:u w:val="single" w:color="2205FC"/>
        </w:rPr>
        <w:t>Lei nº 14133/2021, Art. 74, § 5º, V.</w:t>
      </w:r>
    </w:p>
    <w:p w14:paraId="55D8EEDE" w14:textId="77777777" w:rsidR="00257A3E" w:rsidRDefault="00000000">
      <w:pPr>
        <w:spacing w:after="167" w:line="259" w:lineRule="auto"/>
        <w:ind w:left="18" w:right="0" w:hanging="10"/>
        <w:jc w:val="left"/>
      </w:pPr>
      <w:r>
        <w:rPr>
          <w:color w:val="2205FC"/>
          <w:sz w:val="20"/>
          <w:u w:val="single" w:color="2205FC"/>
        </w:rPr>
        <w:t>Lei nº 14133/2021, Art. 51.</w:t>
      </w:r>
    </w:p>
    <w:p w14:paraId="7E5094C9" w14:textId="77777777" w:rsidR="00257A3E" w:rsidRDefault="00000000">
      <w:pPr>
        <w:spacing w:after="50" w:line="261" w:lineRule="auto"/>
        <w:ind w:left="18" w:right="0" w:hanging="10"/>
      </w:pPr>
      <w:r>
        <w:rPr>
          <w:b/>
          <w:sz w:val="20"/>
        </w:rPr>
        <w:t>Sessão:</w:t>
      </w:r>
    </w:p>
    <w:p w14:paraId="7468D090" w14:textId="77777777" w:rsidR="00257A3E" w:rsidRDefault="00000000">
      <w:pPr>
        <w:spacing w:after="155" w:line="261" w:lineRule="auto"/>
        <w:ind w:left="18" w:right="0" w:hanging="10"/>
      </w:pPr>
      <w:r>
        <w:rPr>
          <w:b/>
          <w:sz w:val="20"/>
        </w:rPr>
        <w:t>ORDINÁRIA nº 5421, de 07/05/2025.</w:t>
      </w:r>
    </w:p>
    <w:p w14:paraId="741613BA" w14:textId="77777777" w:rsidR="00257A3E" w:rsidRDefault="00000000">
      <w:pPr>
        <w:spacing w:after="167" w:line="259" w:lineRule="auto"/>
        <w:ind w:left="18" w:right="0" w:hanging="10"/>
        <w:jc w:val="left"/>
      </w:pPr>
      <w:r>
        <w:rPr>
          <w:color w:val="2205FC"/>
          <w:sz w:val="20"/>
          <w:u w:val="single" w:color="2205FC"/>
        </w:rPr>
        <w:t>Proc. nº 7619/2024 - Dec. nº 1619/2025</w:t>
      </w:r>
    </w:p>
    <w:tbl>
      <w:tblPr>
        <w:tblStyle w:val="TableGrid"/>
        <w:tblpPr w:vertAnchor="text" w:horzAnchor="margin"/>
        <w:tblOverlap w:val="never"/>
        <w:tblW w:w="9108" w:type="dxa"/>
        <w:tblInd w:w="0" w:type="dxa"/>
        <w:tblCellMar>
          <w:top w:w="0" w:type="dxa"/>
          <w:left w:w="0" w:type="dxa"/>
          <w:bottom w:w="0" w:type="dxa"/>
          <w:right w:w="0" w:type="dxa"/>
        </w:tblCellMar>
        <w:tblLook w:val="04A0" w:firstRow="1" w:lastRow="0" w:firstColumn="1" w:lastColumn="0" w:noHBand="0" w:noVBand="1"/>
      </w:tblPr>
      <w:tblGrid>
        <w:gridCol w:w="9108"/>
      </w:tblGrid>
      <w:tr w:rsidR="00257A3E" w14:paraId="1BD8CD84" w14:textId="77777777">
        <w:trPr>
          <w:trHeight w:val="7610"/>
        </w:trPr>
        <w:tc>
          <w:tcPr>
            <w:tcW w:w="11229" w:type="dxa"/>
            <w:tcBorders>
              <w:top w:val="nil"/>
              <w:left w:val="nil"/>
              <w:bottom w:val="nil"/>
              <w:right w:val="nil"/>
            </w:tcBorders>
          </w:tcPr>
          <w:p w14:paraId="0DFFCAAC" w14:textId="77777777" w:rsidR="00257A3E" w:rsidRDefault="00000000">
            <w:pPr>
              <w:spacing w:after="106" w:line="259" w:lineRule="auto"/>
              <w:ind w:left="-140" w:right="0" w:firstLine="0"/>
              <w:jc w:val="left"/>
            </w:pPr>
            <w:r>
              <w:rPr>
                <w:rFonts w:ascii="Calibri" w:eastAsia="Calibri" w:hAnsi="Calibri" w:cs="Calibri"/>
                <w:b/>
                <w:color w:val="F6A700"/>
                <w:sz w:val="26"/>
              </w:rPr>
              <w:lastRenderedPageBreak/>
              <w:t>Licitações e Contratos</w:t>
            </w:r>
          </w:p>
          <w:p w14:paraId="290EE4F4" w14:textId="77777777" w:rsidR="00257A3E" w:rsidRDefault="00000000">
            <w:pPr>
              <w:spacing w:after="3" w:line="259" w:lineRule="auto"/>
              <w:ind w:left="0" w:right="-1852" w:firstLine="0"/>
              <w:jc w:val="righ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1CD1AA30" wp14:editId="327AB96C">
                      <wp:simplePos x="0" y="0"/>
                      <wp:positionH relativeFrom="column">
                        <wp:posOffset>0</wp:posOffset>
                      </wp:positionH>
                      <wp:positionV relativeFrom="paragraph">
                        <wp:posOffset>-17779</wp:posOffset>
                      </wp:positionV>
                      <wp:extent cx="146075" cy="320040"/>
                      <wp:effectExtent l="0" t="0" r="0" b="0"/>
                      <wp:wrapSquare wrapText="bothSides"/>
                      <wp:docPr id="14960" name="Group 14960"/>
                      <wp:cNvGraphicFramePr/>
                      <a:graphic xmlns:a="http://schemas.openxmlformats.org/drawingml/2006/main">
                        <a:graphicData uri="http://schemas.microsoft.com/office/word/2010/wordprocessingGroup">
                          <wpg:wgp>
                            <wpg:cNvGrpSpPr/>
                            <wpg:grpSpPr>
                              <a:xfrm>
                                <a:off x="0" y="0"/>
                                <a:ext cx="146075" cy="320040"/>
                                <a:chOff x="0" y="0"/>
                                <a:chExt cx="146075" cy="320040"/>
                              </a:xfrm>
                            </wpg:grpSpPr>
                            <wps:wsp>
                              <wps:cNvPr id="299" name="Rectangle 299"/>
                              <wps:cNvSpPr/>
                              <wps:spPr>
                                <a:xfrm>
                                  <a:off x="0" y="0"/>
                                  <a:ext cx="194280" cy="425653"/>
                                </a:xfrm>
                                <a:prstGeom prst="rect">
                                  <a:avLst/>
                                </a:prstGeom>
                                <a:ln>
                                  <a:noFill/>
                                </a:ln>
                              </wps:spPr>
                              <wps:txbx>
                                <w:txbxContent>
                                  <w:p w14:paraId="3A930A7C" w14:textId="77777777" w:rsidR="00257A3E" w:rsidRDefault="00000000">
                                    <w:pPr>
                                      <w:spacing w:after="160" w:line="259" w:lineRule="auto"/>
                                      <w:ind w:left="0" w:right="0" w:firstLine="0"/>
                                      <w:jc w:val="left"/>
                                    </w:pPr>
                                    <w:r>
                                      <w:rPr>
                                        <w:rFonts w:ascii="Calibri" w:eastAsia="Calibri" w:hAnsi="Calibri" w:cs="Calibri"/>
                                        <w:color w:val="F6A700"/>
                                        <w:w w:val="126"/>
                                        <w:sz w:val="36"/>
                                      </w:rPr>
                                      <w:t>5</w:t>
                                    </w:r>
                                  </w:p>
                                </w:txbxContent>
                              </wps:txbx>
                              <wps:bodyPr horzOverflow="overflow" vert="horz" lIns="0" tIns="0" rIns="0" bIns="0" rtlCol="0">
                                <a:noAutofit/>
                              </wps:bodyPr>
                            </wps:wsp>
                          </wpg:wgp>
                        </a:graphicData>
                      </a:graphic>
                    </wp:anchor>
                  </w:drawing>
                </mc:Choice>
                <mc:Fallback xmlns:a="http://schemas.openxmlformats.org/drawingml/2006/main">
                  <w:pict>
                    <v:group id="Group 14960" style="width:11.502pt;height:25.2pt;position:absolute;mso-position-horizontal-relative:text;mso-position-horizontal:absolute;margin-left:0pt;mso-position-vertical-relative:text;margin-top:-1.40002pt;" coordsize="1460,3200">
                      <v:rect id="Rectangle 299" style="position:absolute;width:1942;height:4256;left:0;top:0;" filled="f" stroked="f">
                        <v:textbox inset="0,0,0,0">
                          <w:txbxContent>
                            <w:p>
                              <w:pPr>
                                <w:spacing w:before="0" w:after="160" w:line="259" w:lineRule="auto"/>
                                <w:ind w:left="0" w:right="0" w:firstLine="0"/>
                                <w:jc w:val="left"/>
                              </w:pPr>
                              <w:r>
                                <w:rPr>
                                  <w:rFonts w:cs="Calibri" w:hAnsi="Calibri" w:eastAsia="Calibri" w:ascii="Calibri"/>
                                  <w:color w:val="f6a700"/>
                                  <w:w w:val="126"/>
                                  <w:sz w:val="36"/>
                                </w:rPr>
                                <w:t xml:space="preserve">5</w:t>
                              </w:r>
                            </w:p>
                          </w:txbxContent>
                        </v:textbox>
                      </v:rect>
                      <w10:wrap type="square"/>
                    </v:group>
                  </w:pict>
                </mc:Fallback>
              </mc:AlternateContent>
            </w:r>
            <w:r>
              <w:rPr>
                <w:b/>
                <w:sz w:val="20"/>
              </w:rPr>
              <w:t>LICITAÇÃO. PREGÃO ELETRÔNICO. SECRETARIA DE ESTADO DE EDUCAÇÃO DO DISTRITO</w:t>
            </w:r>
          </w:p>
          <w:p w14:paraId="3B722E85" w14:textId="77777777" w:rsidR="00257A3E" w:rsidRDefault="00000000">
            <w:pPr>
              <w:spacing w:after="5" w:line="259" w:lineRule="auto"/>
              <w:ind w:left="660" w:right="-1874" w:firstLine="0"/>
              <w:jc w:val="left"/>
            </w:pPr>
            <w:r>
              <w:rPr>
                <w:b/>
                <w:sz w:val="20"/>
              </w:rPr>
              <w:t>FEDERAL. PROGRAMA DE ALIMENTAÇÃO ESCOLAR. SUSPENSÃO. ADOÇÃO DE MEDIDAS CORRETIVAS.</w:t>
            </w:r>
          </w:p>
          <w:p w14:paraId="266F81E7" w14:textId="77777777" w:rsidR="00257A3E" w:rsidRDefault="00000000">
            <w:pPr>
              <w:spacing w:after="61"/>
              <w:ind w:left="660" w:right="-1874" w:firstLine="0"/>
            </w:pPr>
            <w:r>
              <w:rPr>
                <w:b/>
                <w:sz w:val="20"/>
              </w:rPr>
              <w:t>AUTORIZADA A CONTINUIDADE. DENÚNCIA. LICITANTE. RECEBIDA COMO REPRESENTAÇÃO. CONHECIDA. SUFICIÊNCIA DA INSTRUÇÃO. EXAME DE MÉRITO. REGRA DE INABILITAÇÃO. INTERPRETAÇÃO RESTRITIVA. IMPROCEDÊNCIA. PEDIDO CAUTELAR. PREJUDICADO.</w:t>
            </w:r>
          </w:p>
          <w:p w14:paraId="1ED74FBD" w14:textId="77777777" w:rsidR="00257A3E" w:rsidRDefault="00000000">
            <w:pPr>
              <w:numPr>
                <w:ilvl w:val="0"/>
                <w:numId w:val="4"/>
              </w:numPr>
              <w:spacing w:after="226"/>
              <w:ind w:right="-1898" w:firstLine="500"/>
            </w:pPr>
            <w:r>
              <w:t>As disposições constantes em editais de licitação que restrinjam a participação no certame devem ser interpretadas restritivamente, em atenção à isonomia, à ampla concorrência e à eficiência, diante do risco de imposição de óbice indevido no acesso ao certame.</w:t>
            </w:r>
          </w:p>
          <w:p w14:paraId="451AD0D0" w14:textId="77777777" w:rsidR="00257A3E" w:rsidRDefault="00000000">
            <w:pPr>
              <w:numPr>
                <w:ilvl w:val="0"/>
                <w:numId w:val="4"/>
              </w:numPr>
              <w:spacing w:after="0" w:line="259" w:lineRule="auto"/>
              <w:ind w:right="-1898" w:firstLine="500"/>
            </w:pPr>
            <w:r>
              <w:t>A atuação administrativa deve observar o princípio da proporcionalidade, especialmente no tratamento de irregularidades que não comprometam a isonomia de certames, tampouco gerem proveito indevido para os licitantes.</w:t>
            </w:r>
          </w:p>
          <w:tbl>
            <w:tblPr>
              <w:tblStyle w:val="TableGrid"/>
              <w:tblW w:w="8448" w:type="dxa"/>
              <w:tblInd w:w="660" w:type="dxa"/>
              <w:tblCellMar>
                <w:top w:w="0" w:type="dxa"/>
                <w:left w:w="0" w:type="dxa"/>
                <w:bottom w:w="0" w:type="dxa"/>
                <w:right w:w="0" w:type="dxa"/>
              </w:tblCellMar>
              <w:tblLook w:val="04A0" w:firstRow="1" w:lastRow="0" w:firstColumn="1" w:lastColumn="0" w:noHBand="0" w:noVBand="1"/>
            </w:tblPr>
            <w:tblGrid>
              <w:gridCol w:w="4800"/>
              <w:gridCol w:w="3648"/>
            </w:tblGrid>
            <w:tr w:rsidR="00257A3E" w14:paraId="0E13A4D8" w14:textId="77777777">
              <w:trPr>
                <w:trHeight w:val="593"/>
              </w:trPr>
              <w:tc>
                <w:tcPr>
                  <w:tcW w:w="4800" w:type="dxa"/>
                  <w:tcBorders>
                    <w:top w:val="nil"/>
                    <w:left w:val="nil"/>
                    <w:bottom w:val="nil"/>
                    <w:right w:val="nil"/>
                  </w:tcBorders>
                </w:tcPr>
                <w:p w14:paraId="30C99C85" w14:textId="77777777" w:rsidR="00257A3E" w:rsidRDefault="00000000">
                  <w:pPr>
                    <w:framePr w:wrap="around" w:vAnchor="text" w:hAnchor="margin"/>
                    <w:spacing w:after="52" w:line="259" w:lineRule="auto"/>
                    <w:ind w:left="0" w:right="0" w:firstLine="0"/>
                    <w:suppressOverlap/>
                    <w:jc w:val="left"/>
                  </w:pPr>
                  <w:r>
                    <w:rPr>
                      <w:b/>
                      <w:sz w:val="20"/>
                    </w:rPr>
                    <w:t>Relator:</w:t>
                  </w:r>
                </w:p>
                <w:p w14:paraId="418675CE" w14:textId="77777777" w:rsidR="00257A3E" w:rsidRDefault="00000000">
                  <w:pPr>
                    <w:framePr w:wrap="around" w:vAnchor="text" w:hAnchor="margin"/>
                    <w:spacing w:after="0" w:line="259" w:lineRule="auto"/>
                    <w:ind w:left="0" w:right="0" w:firstLine="0"/>
                    <w:suppressOverlap/>
                    <w:jc w:val="left"/>
                  </w:pPr>
                  <w:r>
                    <w:rPr>
                      <w:b/>
                      <w:sz w:val="20"/>
                    </w:rPr>
                    <w:t>André Clemente Lara De Oliveira</w:t>
                  </w:r>
                </w:p>
              </w:tc>
              <w:tc>
                <w:tcPr>
                  <w:tcW w:w="3648" w:type="dxa"/>
                  <w:tcBorders>
                    <w:top w:val="nil"/>
                    <w:left w:val="nil"/>
                    <w:bottom w:val="nil"/>
                    <w:right w:val="nil"/>
                  </w:tcBorders>
                </w:tcPr>
                <w:p w14:paraId="5E62315B" w14:textId="77777777" w:rsidR="00257A3E" w:rsidRDefault="00000000">
                  <w:pPr>
                    <w:framePr w:wrap="around" w:vAnchor="text" w:hAnchor="margin"/>
                    <w:spacing w:after="52" w:line="259" w:lineRule="auto"/>
                    <w:ind w:left="0" w:right="0" w:firstLine="0"/>
                    <w:suppressOverlap/>
                    <w:jc w:val="left"/>
                  </w:pPr>
                  <w:r>
                    <w:rPr>
                      <w:b/>
                      <w:sz w:val="20"/>
                    </w:rPr>
                    <w:t>Sessão:</w:t>
                  </w:r>
                </w:p>
                <w:p w14:paraId="780C61DF" w14:textId="77777777" w:rsidR="00257A3E" w:rsidRDefault="00000000">
                  <w:pPr>
                    <w:framePr w:wrap="around" w:vAnchor="text" w:hAnchor="margin"/>
                    <w:spacing w:after="0" w:line="259" w:lineRule="auto"/>
                    <w:ind w:left="0" w:right="0" w:firstLine="0"/>
                    <w:suppressOverlap/>
                    <w:jc w:val="left"/>
                  </w:pPr>
                  <w:r>
                    <w:rPr>
                      <w:b/>
                      <w:sz w:val="20"/>
                    </w:rPr>
                    <w:t>ORDINÁRIA nº 5422, de 14/05/2025.</w:t>
                  </w:r>
                </w:p>
              </w:tc>
            </w:tr>
            <w:tr w:rsidR="00257A3E" w14:paraId="79723754" w14:textId="77777777">
              <w:trPr>
                <w:trHeight w:val="293"/>
              </w:trPr>
              <w:tc>
                <w:tcPr>
                  <w:tcW w:w="4800" w:type="dxa"/>
                  <w:tcBorders>
                    <w:top w:val="nil"/>
                    <w:left w:val="nil"/>
                    <w:bottom w:val="nil"/>
                    <w:right w:val="nil"/>
                  </w:tcBorders>
                  <w:vAlign w:val="bottom"/>
                </w:tcPr>
                <w:p w14:paraId="22A7BDA0" w14:textId="77777777" w:rsidR="00257A3E" w:rsidRDefault="00000000">
                  <w:pPr>
                    <w:framePr w:wrap="around" w:vAnchor="text" w:hAnchor="margin"/>
                    <w:spacing w:after="0" w:line="259" w:lineRule="auto"/>
                    <w:ind w:left="0" w:right="0" w:firstLine="0"/>
                    <w:suppressOverlap/>
                    <w:jc w:val="left"/>
                  </w:pPr>
                  <w:r>
                    <w:rPr>
                      <w:b/>
                      <w:sz w:val="20"/>
                    </w:rPr>
                    <w:t>Decisão por unanimidade</w:t>
                  </w:r>
                </w:p>
              </w:tc>
              <w:tc>
                <w:tcPr>
                  <w:tcW w:w="3648" w:type="dxa"/>
                  <w:tcBorders>
                    <w:top w:val="nil"/>
                    <w:left w:val="nil"/>
                    <w:bottom w:val="nil"/>
                    <w:right w:val="nil"/>
                  </w:tcBorders>
                  <w:vAlign w:val="bottom"/>
                </w:tcPr>
                <w:p w14:paraId="18225DB9" w14:textId="77777777" w:rsidR="00257A3E" w:rsidRDefault="00000000">
                  <w:pPr>
                    <w:framePr w:wrap="around" w:vAnchor="text" w:hAnchor="margin"/>
                    <w:spacing w:after="0" w:line="259" w:lineRule="auto"/>
                    <w:ind w:left="0" w:right="0" w:firstLine="0"/>
                    <w:suppressOverlap/>
                  </w:pPr>
                  <w:r>
                    <w:rPr>
                      <w:color w:val="2205FC"/>
                      <w:sz w:val="20"/>
                      <w:u w:val="single" w:color="2205FC"/>
                    </w:rPr>
                    <w:t>Proc. nº 10092/2024 - Dec. nº 1671/2025</w:t>
                  </w:r>
                </w:p>
              </w:tc>
            </w:tr>
          </w:tbl>
          <w:p w14:paraId="2DC18967" w14:textId="77777777" w:rsidR="00257A3E" w:rsidRDefault="00000000">
            <w:pPr>
              <w:spacing w:after="106" w:line="259" w:lineRule="auto"/>
              <w:ind w:left="-140" w:right="0" w:firstLine="0"/>
              <w:jc w:val="left"/>
            </w:pPr>
            <w:r>
              <w:rPr>
                <w:rFonts w:ascii="Calibri" w:eastAsia="Calibri" w:hAnsi="Calibri" w:cs="Calibri"/>
                <w:b/>
                <w:color w:val="F6A700"/>
                <w:sz w:val="26"/>
              </w:rPr>
              <w:t>Licitações e Contratos</w:t>
            </w:r>
          </w:p>
          <w:p w14:paraId="74C0FFDE" w14:textId="77777777" w:rsidR="00257A3E" w:rsidRDefault="00000000">
            <w:pPr>
              <w:spacing w:after="20" w:line="263" w:lineRule="auto"/>
              <w:ind w:left="0" w:right="-1874" w:firstLine="500"/>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292830BD" wp14:editId="05E28799">
                      <wp:simplePos x="0" y="0"/>
                      <wp:positionH relativeFrom="column">
                        <wp:posOffset>0</wp:posOffset>
                      </wp:positionH>
                      <wp:positionV relativeFrom="paragraph">
                        <wp:posOffset>-17779</wp:posOffset>
                      </wp:positionV>
                      <wp:extent cx="146761" cy="320040"/>
                      <wp:effectExtent l="0" t="0" r="0" b="0"/>
                      <wp:wrapSquare wrapText="bothSides"/>
                      <wp:docPr id="14961" name="Group 14961"/>
                      <wp:cNvGraphicFramePr/>
                      <a:graphic xmlns:a="http://schemas.openxmlformats.org/drawingml/2006/main">
                        <a:graphicData uri="http://schemas.microsoft.com/office/word/2010/wordprocessingGroup">
                          <wpg:wgp>
                            <wpg:cNvGrpSpPr/>
                            <wpg:grpSpPr>
                              <a:xfrm>
                                <a:off x="0" y="0"/>
                                <a:ext cx="146761" cy="320040"/>
                                <a:chOff x="0" y="0"/>
                                <a:chExt cx="146761" cy="320040"/>
                              </a:xfrm>
                            </wpg:grpSpPr>
                            <wps:wsp>
                              <wps:cNvPr id="333" name="Rectangle 333"/>
                              <wps:cNvSpPr/>
                              <wps:spPr>
                                <a:xfrm>
                                  <a:off x="0" y="0"/>
                                  <a:ext cx="195192" cy="425653"/>
                                </a:xfrm>
                                <a:prstGeom prst="rect">
                                  <a:avLst/>
                                </a:prstGeom>
                                <a:ln>
                                  <a:noFill/>
                                </a:ln>
                              </wps:spPr>
                              <wps:txbx>
                                <w:txbxContent>
                                  <w:p w14:paraId="1E308F44" w14:textId="77777777" w:rsidR="00257A3E" w:rsidRDefault="00000000">
                                    <w:pPr>
                                      <w:spacing w:after="160" w:line="259" w:lineRule="auto"/>
                                      <w:ind w:left="0" w:right="0" w:firstLine="0"/>
                                      <w:jc w:val="left"/>
                                    </w:pPr>
                                    <w:r>
                                      <w:rPr>
                                        <w:rFonts w:ascii="Calibri" w:eastAsia="Calibri" w:hAnsi="Calibri" w:cs="Calibri"/>
                                        <w:color w:val="F6A700"/>
                                        <w:w w:val="126"/>
                                        <w:sz w:val="36"/>
                                      </w:rPr>
                                      <w:t>6</w:t>
                                    </w:r>
                                  </w:p>
                                </w:txbxContent>
                              </wps:txbx>
                              <wps:bodyPr horzOverflow="overflow" vert="horz" lIns="0" tIns="0" rIns="0" bIns="0" rtlCol="0">
                                <a:noAutofit/>
                              </wps:bodyPr>
                            </wps:wsp>
                          </wpg:wgp>
                        </a:graphicData>
                      </a:graphic>
                    </wp:anchor>
                  </w:drawing>
                </mc:Choice>
                <mc:Fallback xmlns:a="http://schemas.openxmlformats.org/drawingml/2006/main">
                  <w:pict>
                    <v:group id="Group 14961" style="width:11.556pt;height:25.2pt;position:absolute;mso-position-horizontal-relative:text;mso-position-horizontal:absolute;margin-left:5.72205e-06pt;mso-position-vertical-relative:text;margin-top:-1.40002pt;" coordsize="1467,3200">
                      <v:rect id="Rectangle 333" style="position:absolute;width:1951;height:4256;left:0;top:0;" filled="f" stroked="f">
                        <v:textbox inset="0,0,0,0">
                          <w:txbxContent>
                            <w:p>
                              <w:pPr>
                                <w:spacing w:before="0" w:after="160" w:line="259" w:lineRule="auto"/>
                                <w:ind w:left="0" w:right="0" w:firstLine="0"/>
                                <w:jc w:val="left"/>
                              </w:pPr>
                              <w:r>
                                <w:rPr>
                                  <w:rFonts w:cs="Calibri" w:hAnsi="Calibri" w:eastAsia="Calibri" w:ascii="Calibri"/>
                                  <w:color w:val="f6a700"/>
                                  <w:w w:val="126"/>
                                  <w:sz w:val="36"/>
                                </w:rPr>
                                <w:t xml:space="preserve">6</w:t>
                              </w:r>
                            </w:p>
                          </w:txbxContent>
                        </v:textbox>
                      </v:rect>
                      <w10:wrap type="square"/>
                    </v:group>
                  </w:pict>
                </mc:Fallback>
              </mc:AlternateContent>
            </w:r>
            <w:r>
              <w:rPr>
                <w:b/>
                <w:sz w:val="20"/>
              </w:rPr>
              <w:t>LICITAÇÕES E CONTRATOS. SECRETARIA DE ESTADO DE AGRICULTURA, ABASTECIMENTO E DESENVOLVIMENTO RURAL DO DISTRITO FEDERAL - SEAGRI/DF. CONSULTA. DECRETO DISTRITAL.</w:t>
            </w:r>
          </w:p>
          <w:p w14:paraId="2B24E47B" w14:textId="77777777" w:rsidR="00257A3E" w:rsidRDefault="00000000">
            <w:pPr>
              <w:tabs>
                <w:tab w:val="center" w:pos="1549"/>
                <w:tab w:val="center" w:pos="3337"/>
                <w:tab w:val="center" w:pos="4980"/>
                <w:tab w:val="center" w:pos="6257"/>
                <w:tab w:val="center" w:pos="7239"/>
                <w:tab w:val="right" w:pos="10027"/>
              </w:tabs>
              <w:spacing w:after="0" w:line="259" w:lineRule="auto"/>
              <w:ind w:left="0" w:right="-919" w:firstLine="0"/>
              <w:jc w:val="left"/>
            </w:pPr>
            <w:r>
              <w:rPr>
                <w:rFonts w:ascii="Calibri" w:eastAsia="Calibri" w:hAnsi="Calibri" w:cs="Calibri"/>
                <w:sz w:val="22"/>
              </w:rPr>
              <w:tab/>
            </w:r>
            <w:r>
              <w:rPr>
                <w:b/>
                <w:sz w:val="20"/>
              </w:rPr>
              <w:t xml:space="preserve">INTERPRETAÇÃO. </w:t>
            </w:r>
            <w:r>
              <w:rPr>
                <w:b/>
                <w:sz w:val="20"/>
              </w:rPr>
              <w:tab/>
              <w:t xml:space="preserve">PLANILHA </w:t>
            </w:r>
            <w:r>
              <w:rPr>
                <w:b/>
                <w:sz w:val="20"/>
              </w:rPr>
              <w:tab/>
              <w:t xml:space="preserve">COMPARATIVA </w:t>
            </w:r>
            <w:r>
              <w:rPr>
                <w:b/>
                <w:sz w:val="20"/>
              </w:rPr>
              <w:tab/>
              <w:t xml:space="preserve">DE </w:t>
            </w:r>
            <w:r>
              <w:rPr>
                <w:b/>
                <w:sz w:val="20"/>
              </w:rPr>
              <w:tab/>
              <w:t xml:space="preserve">PREÇOS. </w:t>
            </w:r>
            <w:r>
              <w:rPr>
                <w:b/>
                <w:sz w:val="20"/>
              </w:rPr>
              <w:tab/>
              <w:t>APROVEITAMENTO.</w:t>
            </w:r>
          </w:p>
          <w:p w14:paraId="415E0DD6" w14:textId="77777777" w:rsidR="00257A3E" w:rsidRDefault="00000000">
            <w:pPr>
              <w:spacing w:after="0" w:line="259" w:lineRule="auto"/>
              <w:ind w:left="660" w:right="0" w:firstLine="0"/>
              <w:jc w:val="left"/>
            </w:pPr>
            <w:r>
              <w:rPr>
                <w:b/>
                <w:sz w:val="20"/>
              </w:rPr>
              <w:t>POSSIBILIDADE.</w:t>
            </w:r>
          </w:p>
          <w:p w14:paraId="5045ABB3" w14:textId="77777777" w:rsidR="00257A3E" w:rsidRDefault="00000000">
            <w:pPr>
              <w:spacing w:after="0" w:line="259" w:lineRule="auto"/>
              <w:ind w:left="660" w:right="-1871" w:firstLine="500"/>
            </w:pPr>
            <w:r>
              <w:t>Consulta formulada pela Secretaria de Estado da Agricultura, Abastecimento e Desenvolvimento Rural do Distrito Federal - Seagri/DF acerca da interpretação do art. 96 do Decreto Distrital nº 44.330/23, especificamente no que tange à possibilidade de aproveitamento de Planilha Comparativa de Preços na hipótese de ser constatada fonte de preços fora do período de validade previsto no art. 95 do Decreto Distrital nº 44.330/23. O Tribunal respondeu à Consulente ser possível o aproveitamento de Planilha Comparativa de Preços, após a sua assinatura, sendo que para o cálculo do valor de referência deverão ser descartados os preços não vigentes e verificado o atendimento dos demais requisitos indicados no referido Decreto,</w:t>
            </w:r>
          </w:p>
        </w:tc>
      </w:tr>
    </w:tbl>
    <w:p w14:paraId="67511279" w14:textId="77777777" w:rsidR="00257A3E" w:rsidRDefault="00000000">
      <w:pPr>
        <w:spacing w:after="75"/>
        <w:ind w:left="0" w:right="0" w:firstLine="0"/>
      </w:pPr>
      <w:r>
        <w:lastRenderedPageBreak/>
        <w:t>especialmente quanto aos arts. 87,90, 101 e 108.</w:t>
      </w:r>
    </w:p>
    <w:p w14:paraId="2C3E9DC6" w14:textId="77777777" w:rsidR="00257A3E" w:rsidRDefault="00000000">
      <w:pPr>
        <w:spacing w:after="50" w:line="261" w:lineRule="auto"/>
        <w:ind w:left="18" w:right="0" w:hanging="10"/>
      </w:pPr>
      <w:r>
        <w:rPr>
          <w:b/>
          <w:sz w:val="20"/>
        </w:rPr>
        <w:t>Relator:</w:t>
      </w:r>
    </w:p>
    <w:p w14:paraId="79378B65" w14:textId="77777777" w:rsidR="00257A3E" w:rsidRDefault="00000000">
      <w:pPr>
        <w:spacing w:after="155" w:line="261" w:lineRule="auto"/>
        <w:ind w:left="18" w:right="0" w:hanging="10"/>
      </w:pPr>
      <w:r>
        <w:rPr>
          <w:b/>
          <w:sz w:val="20"/>
        </w:rPr>
        <w:t>Anilcéia Luzia Machado</w:t>
      </w:r>
    </w:p>
    <w:p w14:paraId="62EB930E" w14:textId="77777777" w:rsidR="00257A3E" w:rsidRDefault="00000000">
      <w:pPr>
        <w:spacing w:after="470" w:line="261" w:lineRule="auto"/>
        <w:ind w:left="18" w:right="0" w:hanging="10"/>
      </w:pPr>
      <w:r>
        <w:rPr>
          <w:b/>
          <w:sz w:val="20"/>
        </w:rPr>
        <w:t>Decisão por unanimidade</w:t>
      </w:r>
    </w:p>
    <w:p w14:paraId="0275798C" w14:textId="77777777" w:rsidR="00257A3E" w:rsidRDefault="00000000">
      <w:pPr>
        <w:spacing w:after="155" w:line="261" w:lineRule="auto"/>
        <w:ind w:left="18" w:right="0" w:hanging="10"/>
      </w:pPr>
      <w:r>
        <w:rPr>
          <w:b/>
          <w:sz w:val="20"/>
        </w:rPr>
        <w:t>Legislação relacionada:</w:t>
      </w:r>
    </w:p>
    <w:p w14:paraId="6FC4B431" w14:textId="77777777" w:rsidR="00257A3E" w:rsidRDefault="00000000">
      <w:pPr>
        <w:spacing w:after="167" w:line="259" w:lineRule="auto"/>
        <w:ind w:left="18" w:right="0" w:hanging="10"/>
        <w:jc w:val="left"/>
      </w:pPr>
      <w:r>
        <w:rPr>
          <w:color w:val="2205FC"/>
          <w:sz w:val="20"/>
          <w:u w:val="single" w:color="2205FC"/>
        </w:rPr>
        <w:t>Decreto nº 44330/2023, Art. 96.</w:t>
      </w:r>
    </w:p>
    <w:p w14:paraId="6841AED1" w14:textId="77777777" w:rsidR="00257A3E" w:rsidRDefault="00000000">
      <w:pPr>
        <w:spacing w:after="167" w:line="259" w:lineRule="auto"/>
        <w:ind w:left="18" w:right="0" w:hanging="10"/>
        <w:jc w:val="left"/>
      </w:pPr>
      <w:r>
        <w:rPr>
          <w:color w:val="2205FC"/>
          <w:sz w:val="20"/>
          <w:u w:val="single" w:color="2205FC"/>
        </w:rPr>
        <w:t>Decreto nº 44330/2023, Art. 97.</w:t>
      </w:r>
    </w:p>
    <w:p w14:paraId="3ADC71CD" w14:textId="77777777" w:rsidR="00257A3E" w:rsidRDefault="00000000">
      <w:pPr>
        <w:spacing w:after="167" w:line="259" w:lineRule="auto"/>
        <w:ind w:left="18" w:right="0" w:hanging="10"/>
        <w:jc w:val="left"/>
      </w:pPr>
      <w:r>
        <w:rPr>
          <w:color w:val="2205FC"/>
          <w:sz w:val="20"/>
          <w:u w:val="single" w:color="2205FC"/>
        </w:rPr>
        <w:t>Decreto nº 44330/2023, Art. 90, § 3º.</w:t>
      </w:r>
    </w:p>
    <w:p w14:paraId="36069233" w14:textId="77777777" w:rsidR="00257A3E" w:rsidRDefault="00000000">
      <w:pPr>
        <w:spacing w:after="167" w:line="259" w:lineRule="auto"/>
        <w:ind w:left="18" w:right="0" w:hanging="10"/>
        <w:jc w:val="left"/>
      </w:pPr>
      <w:r>
        <w:rPr>
          <w:color w:val="2205FC"/>
          <w:sz w:val="20"/>
          <w:u w:val="single" w:color="2205FC"/>
        </w:rPr>
        <w:t>Decreto nº 44330/2023, Art. 103, § .</w:t>
      </w:r>
    </w:p>
    <w:p w14:paraId="3523885E" w14:textId="77777777" w:rsidR="00257A3E" w:rsidRDefault="00000000">
      <w:pPr>
        <w:spacing w:after="167" w:line="259" w:lineRule="auto"/>
        <w:ind w:left="18" w:right="0" w:hanging="10"/>
        <w:jc w:val="left"/>
      </w:pPr>
      <w:r>
        <w:rPr>
          <w:color w:val="2205FC"/>
          <w:sz w:val="20"/>
          <w:u w:val="single" w:color="2205FC"/>
        </w:rPr>
        <w:t>Decreto nº 44330/2023, Art. 95, III.</w:t>
      </w:r>
    </w:p>
    <w:p w14:paraId="2F334FD2" w14:textId="77777777" w:rsidR="00257A3E" w:rsidRDefault="00000000">
      <w:pPr>
        <w:spacing w:after="167" w:line="259" w:lineRule="auto"/>
        <w:ind w:left="18" w:right="0" w:hanging="10"/>
        <w:jc w:val="left"/>
      </w:pPr>
      <w:r>
        <w:rPr>
          <w:color w:val="2205FC"/>
          <w:sz w:val="20"/>
          <w:u w:val="single" w:color="2205FC"/>
        </w:rPr>
        <w:t>Decreto nº 44330/2023, Art. 103.</w:t>
      </w:r>
    </w:p>
    <w:p w14:paraId="5E8A04AD" w14:textId="77777777" w:rsidR="00257A3E" w:rsidRDefault="00000000">
      <w:pPr>
        <w:spacing w:after="167" w:line="259" w:lineRule="auto"/>
        <w:ind w:left="18" w:right="0" w:hanging="10"/>
        <w:jc w:val="left"/>
      </w:pPr>
      <w:r>
        <w:rPr>
          <w:color w:val="2205FC"/>
          <w:sz w:val="20"/>
          <w:u w:val="single" w:color="2205FC"/>
        </w:rPr>
        <w:t>Decreto nº 44330/2023, Art. 90.</w:t>
      </w:r>
    </w:p>
    <w:p w14:paraId="6FE2556F" w14:textId="77777777" w:rsidR="00257A3E" w:rsidRDefault="00000000">
      <w:pPr>
        <w:spacing w:after="167" w:line="259" w:lineRule="auto"/>
        <w:ind w:left="18" w:right="0" w:hanging="10"/>
        <w:jc w:val="left"/>
      </w:pPr>
      <w:r>
        <w:rPr>
          <w:color w:val="2205FC"/>
          <w:sz w:val="20"/>
          <w:u w:val="single" w:color="2205FC"/>
        </w:rPr>
        <w:t>Decreto nº 44330/2023, Art. 87.</w:t>
      </w:r>
    </w:p>
    <w:p w14:paraId="58F47570" w14:textId="77777777" w:rsidR="00257A3E" w:rsidRDefault="00000000">
      <w:pPr>
        <w:spacing w:after="167" w:line="259" w:lineRule="auto"/>
        <w:ind w:left="18" w:right="0" w:hanging="10"/>
        <w:jc w:val="left"/>
      </w:pPr>
      <w:r>
        <w:rPr>
          <w:color w:val="2205FC"/>
          <w:sz w:val="20"/>
          <w:u w:val="single" w:color="2205FC"/>
        </w:rPr>
        <w:t>Decreto nº 44330/2023, Art. 101.</w:t>
      </w:r>
    </w:p>
    <w:p w14:paraId="354A3C1B" w14:textId="77777777" w:rsidR="00257A3E" w:rsidRDefault="00000000">
      <w:pPr>
        <w:spacing w:after="167" w:line="259" w:lineRule="auto"/>
        <w:ind w:left="18" w:right="0" w:hanging="10"/>
        <w:jc w:val="left"/>
      </w:pPr>
      <w:r>
        <w:rPr>
          <w:color w:val="2205FC"/>
          <w:sz w:val="20"/>
          <w:u w:val="single" w:color="2205FC"/>
        </w:rPr>
        <w:t>Decreto nº 44330/2023, Art. 108.</w:t>
      </w:r>
    </w:p>
    <w:p w14:paraId="7BF0994B" w14:textId="77777777" w:rsidR="00257A3E" w:rsidRDefault="00000000">
      <w:pPr>
        <w:spacing w:after="50" w:line="261" w:lineRule="auto"/>
        <w:ind w:left="18" w:right="0" w:hanging="10"/>
      </w:pPr>
      <w:r>
        <w:rPr>
          <w:b/>
          <w:sz w:val="20"/>
        </w:rPr>
        <w:lastRenderedPageBreak/>
        <w:t>Sessão:</w:t>
      </w:r>
    </w:p>
    <w:p w14:paraId="5835C902" w14:textId="77777777" w:rsidR="00257A3E" w:rsidRDefault="00000000">
      <w:pPr>
        <w:spacing w:after="155" w:line="261" w:lineRule="auto"/>
        <w:ind w:left="18" w:right="0" w:hanging="10"/>
      </w:pPr>
      <w:r>
        <w:rPr>
          <w:b/>
          <w:sz w:val="20"/>
        </w:rPr>
        <w:t>ORDINÁRIA nº 5427, de 25/06/2025.</w:t>
      </w:r>
    </w:p>
    <w:p w14:paraId="226D27D2" w14:textId="77777777" w:rsidR="00257A3E" w:rsidRDefault="00000000">
      <w:pPr>
        <w:spacing w:after="167" w:line="259" w:lineRule="auto"/>
        <w:ind w:left="18" w:right="0" w:hanging="10"/>
        <w:jc w:val="left"/>
      </w:pPr>
      <w:r>
        <w:rPr>
          <w:color w:val="2205FC"/>
          <w:sz w:val="20"/>
          <w:u w:val="single" w:color="2205FC"/>
        </w:rPr>
        <w:t>Proc. nº 889/2025 - Dec. nº 2330/2025</w:t>
      </w:r>
    </w:p>
    <w:p w14:paraId="509D71D0" w14:textId="77777777" w:rsidR="00257A3E" w:rsidRDefault="00257A3E">
      <w:pPr>
        <w:sectPr w:rsidR="00257A3E">
          <w:type w:val="continuous"/>
          <w:pgSz w:w="11900" w:h="16840"/>
          <w:pgMar w:top="426" w:right="2363" w:bottom="3171" w:left="1200" w:header="720" w:footer="720" w:gutter="0"/>
          <w:cols w:num="2" w:space="720" w:equalWidth="0">
            <w:col w:w="3081" w:space="1719"/>
            <w:col w:w="3537"/>
          </w:cols>
        </w:sectPr>
      </w:pPr>
    </w:p>
    <w:p w14:paraId="43242030" w14:textId="77777777" w:rsidR="00257A3E" w:rsidRDefault="00000000">
      <w:pPr>
        <w:spacing w:after="7" w:line="259" w:lineRule="auto"/>
        <w:ind w:left="10" w:right="56" w:hanging="10"/>
        <w:jc w:val="right"/>
      </w:pPr>
      <w:r>
        <w:rPr>
          <w:b/>
          <w:sz w:val="20"/>
        </w:rPr>
        <w:lastRenderedPageBreak/>
        <w:t>PESSOAL. ESTUDOS ESPECIAIS. ACUMULAÇÃO DE CARGO PÚBLICO. EXERCÍCIO DE CARGO</w:t>
      </w:r>
    </w:p>
    <w:p w14:paraId="5BF3B34B" w14:textId="77777777" w:rsidR="00257A3E" w:rsidRDefault="00000000">
      <w:pPr>
        <w:spacing w:after="6" w:line="261" w:lineRule="auto"/>
        <w:ind w:left="18" w:right="0" w:hanging="10"/>
      </w:pPr>
      <w:r>
        <w:rPr>
          <w:b/>
          <w:sz w:val="20"/>
        </w:rPr>
        <w:t>EFETIVO. INVESTIDURA EM CARGO EM COMISSÃO. VINCULAÇÃO DE ATRIBUIÇÕES. DESNECESSIDADE. REMUNERAÇÃO. OPÇÃO. POSSIBILIDADE. COMPATIBILIDADE DE HORÁRIOS.  REMUNERAÇÃO. ACUMULAÇÃO. POSSIBILIDADE.</w:t>
      </w:r>
    </w:p>
    <w:p w14:paraId="2F3226A1" w14:textId="77777777" w:rsidR="00257A3E" w:rsidRDefault="00000000">
      <w:pPr>
        <w:spacing w:after="159"/>
        <w:ind w:left="12" w:right="0"/>
      </w:pPr>
      <w:r>
        <w:t>Estudos especiais autuados em observância à Decisão nº 5.215/22 a fim de verificar, para efeito da acumulação prevista constitucionalmente, a necessidade de o cargo em comissão, porventura exercido em um dos cargos acumuláveis por servidor público, ter correlação com as atribuições do cargo de provimento efetivo a ele vinculado. A relatora ponderou não ser possível exigir que deva haver correlação entre as atribuições do cargo efetivo com as desempenhadas no cargo em comissão para fins de acumulação lícita (art. 37, XVI, da CF) se o legislador não o fez direta e expressamente. Ademais, deve ser admitida a hipótese de acumulação com mais um cargo efetivo, se acumulável licitamente com o primeiro, também efetivo. Em face do exposto, a Corte decidiu rever o item III.c da Decisão nº 462/14, que passa a ter a seguinte redação: “c) nos termos do art. 156, § 1º, da Lei Complementar nº 840/11, a investidura em cargo em comissão, destinado apenas às atribuições de direção, chefia e assessoramento, de servidor ocupante de dois cargos efetivos, acumuláveis na forma da Constituição Federal, sujeitá-lo-á ao afastamento dos cargos efetivos, observado, contudo, o seguinte: 1 - ao servidor será facultado optar pela remuneração integral do cargo em comissão ou pela remuneração do referido cargo efetivo, acrescida de 80% (oitenta por cento) dos vencimentos ou subsídio do cargo em comissão por ele exercido, salvo disposição legal em contrário; 2 - caso haja compatibilidade de horários, ao servidor optante pela remuneração do referido cargo efetivo, nos termos da proposição anterior, será permitida a acumulação da remuneração do outro cargo efetivo, que continuará sendo exercido.</w:t>
      </w:r>
    </w:p>
    <w:p w14:paraId="3200B4EC" w14:textId="77777777" w:rsidR="00257A3E" w:rsidRDefault="00000000">
      <w:pPr>
        <w:tabs>
          <w:tab w:val="center" w:pos="5204"/>
        </w:tabs>
        <w:spacing w:after="77" w:line="261" w:lineRule="auto"/>
        <w:ind w:left="0" w:right="0" w:firstLine="0"/>
        <w:jc w:val="left"/>
      </w:pPr>
      <w:r>
        <w:rPr>
          <w:b/>
          <w:sz w:val="20"/>
        </w:rPr>
        <w:t>Relator:</w:t>
      </w:r>
      <w:r>
        <w:rPr>
          <w:b/>
          <w:sz w:val="20"/>
        </w:rPr>
        <w:tab/>
        <w:t>Sessão:</w:t>
      </w:r>
    </w:p>
    <w:p w14:paraId="602991AE" w14:textId="77777777" w:rsidR="00257A3E" w:rsidRDefault="00000000">
      <w:pPr>
        <w:spacing w:after="200" w:line="445" w:lineRule="auto"/>
        <w:ind w:left="18" w:right="1462" w:hanging="10"/>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14:anchorId="5E78B041" wp14:editId="570E85E1">
                <wp:simplePos x="0" y="0"/>
                <wp:positionH relativeFrom="page">
                  <wp:posOffset>342900</wp:posOffset>
                </wp:positionH>
                <wp:positionV relativeFrom="page">
                  <wp:posOffset>619760</wp:posOffset>
                </wp:positionV>
                <wp:extent cx="128016" cy="320040"/>
                <wp:effectExtent l="0" t="0" r="0" b="0"/>
                <wp:wrapSquare wrapText="bothSides"/>
                <wp:docPr id="14743" name="Group 14743"/>
                <wp:cNvGraphicFramePr/>
                <a:graphic xmlns:a="http://schemas.openxmlformats.org/drawingml/2006/main">
                  <a:graphicData uri="http://schemas.microsoft.com/office/word/2010/wordprocessingGroup">
                    <wpg:wgp>
                      <wpg:cNvGrpSpPr/>
                      <wpg:grpSpPr>
                        <a:xfrm>
                          <a:off x="0" y="0"/>
                          <a:ext cx="128016" cy="320040"/>
                          <a:chOff x="0" y="0"/>
                          <a:chExt cx="128016" cy="320040"/>
                        </a:xfrm>
                      </wpg:grpSpPr>
                      <wps:wsp>
                        <wps:cNvPr id="395" name="Rectangle 395"/>
                        <wps:cNvSpPr/>
                        <wps:spPr>
                          <a:xfrm>
                            <a:off x="0" y="0"/>
                            <a:ext cx="170261" cy="425653"/>
                          </a:xfrm>
                          <a:prstGeom prst="rect">
                            <a:avLst/>
                          </a:prstGeom>
                          <a:ln>
                            <a:noFill/>
                          </a:ln>
                        </wps:spPr>
                        <wps:txbx>
                          <w:txbxContent>
                            <w:p w14:paraId="17CA478F" w14:textId="77777777" w:rsidR="00257A3E" w:rsidRDefault="00000000">
                              <w:pPr>
                                <w:spacing w:after="160" w:line="259" w:lineRule="auto"/>
                                <w:ind w:left="0" w:right="0" w:firstLine="0"/>
                                <w:jc w:val="left"/>
                              </w:pPr>
                              <w:r>
                                <w:rPr>
                                  <w:rFonts w:ascii="Calibri" w:eastAsia="Calibri" w:hAnsi="Calibri" w:cs="Calibri"/>
                                  <w:color w:val="1D9955"/>
                                  <w:w w:val="110"/>
                                  <w:sz w:val="36"/>
                                </w:rPr>
                                <w:t>7</w:t>
                              </w:r>
                            </w:p>
                          </w:txbxContent>
                        </wps:txbx>
                        <wps:bodyPr horzOverflow="overflow" vert="horz" lIns="0" tIns="0" rIns="0" bIns="0" rtlCol="0">
                          <a:noAutofit/>
                        </wps:bodyPr>
                      </wps:wsp>
                    </wpg:wgp>
                  </a:graphicData>
                </a:graphic>
              </wp:anchor>
            </w:drawing>
          </mc:Choice>
          <mc:Fallback xmlns:a="http://schemas.openxmlformats.org/drawingml/2006/main">
            <w:pict>
              <v:group id="Group 14743" style="width:10.08pt;height:25.2pt;position:absolute;mso-position-horizontal-relative:page;mso-position-horizontal:absolute;margin-left:27pt;mso-position-vertical-relative:page;margin-top:48.8pt;" coordsize="1280,3200">
                <v:rect id="Rectangle 395" style="position:absolute;width:1702;height:4256;left:0;top:0;" filled="f" stroked="f">
                  <v:textbox inset="0,0,0,0">
                    <w:txbxContent>
                      <w:p>
                        <w:pPr>
                          <w:spacing w:before="0" w:after="160" w:line="259" w:lineRule="auto"/>
                          <w:ind w:left="0" w:right="0" w:firstLine="0"/>
                          <w:jc w:val="left"/>
                        </w:pPr>
                        <w:r>
                          <w:rPr>
                            <w:rFonts w:cs="Calibri" w:hAnsi="Calibri" w:eastAsia="Calibri" w:ascii="Calibri"/>
                            <w:color w:val="1d9955"/>
                            <w:w w:val="110"/>
                            <w:sz w:val="36"/>
                          </w:rPr>
                          <w:t xml:space="preserve">7</w:t>
                        </w:r>
                      </w:p>
                    </w:txbxContent>
                  </v:textbox>
                </v:rect>
                <w10:wrap type="square"/>
              </v:group>
            </w:pict>
          </mc:Fallback>
        </mc:AlternateContent>
      </w:r>
      <w:r>
        <w:rPr>
          <w:b/>
          <w:sz w:val="20"/>
        </w:rPr>
        <w:t>Anilcéia Luzia Machado</w:t>
      </w:r>
      <w:r>
        <w:rPr>
          <w:b/>
          <w:sz w:val="20"/>
        </w:rPr>
        <w:tab/>
        <w:t>ORDINÁRIA nº 5421, de 07/05/2025. Decisão por unanimidade</w:t>
      </w:r>
      <w:r>
        <w:rPr>
          <w:b/>
          <w:sz w:val="20"/>
        </w:rPr>
        <w:tab/>
      </w:r>
      <w:r>
        <w:rPr>
          <w:color w:val="2205FC"/>
          <w:sz w:val="20"/>
          <w:u w:val="single" w:color="2205FC"/>
        </w:rPr>
        <w:t>Proc. nº 14930/2022 - Dec. nº 1582/2025</w:t>
      </w:r>
    </w:p>
    <w:p w14:paraId="35C6B925" w14:textId="77777777" w:rsidR="00257A3E" w:rsidRDefault="00000000">
      <w:pPr>
        <w:spacing w:after="155" w:line="261" w:lineRule="auto"/>
        <w:ind w:left="18" w:right="0" w:hanging="10"/>
      </w:pPr>
      <w:r>
        <w:rPr>
          <w:b/>
          <w:sz w:val="20"/>
        </w:rPr>
        <w:t>Decisões relacionadas:</w:t>
      </w:r>
    </w:p>
    <w:p w14:paraId="23B9A0BA" w14:textId="77777777" w:rsidR="00257A3E" w:rsidRDefault="00000000">
      <w:pPr>
        <w:spacing w:after="167" w:line="259" w:lineRule="auto"/>
        <w:ind w:left="18" w:right="0" w:hanging="10"/>
        <w:jc w:val="left"/>
      </w:pPr>
      <w:r>
        <w:rPr>
          <w:color w:val="2205FC"/>
          <w:sz w:val="20"/>
          <w:u w:val="single" w:color="2205FC"/>
        </w:rPr>
        <w:t>TCDF: Decisão nº 2975/2008</w:t>
      </w:r>
    </w:p>
    <w:p w14:paraId="2357C2B5" w14:textId="77777777" w:rsidR="00257A3E" w:rsidRDefault="00000000">
      <w:pPr>
        <w:spacing w:after="192" w:line="259" w:lineRule="auto"/>
        <w:ind w:left="18" w:right="0" w:hanging="10"/>
        <w:jc w:val="left"/>
      </w:pPr>
      <w:r>
        <w:rPr>
          <w:color w:val="2205FC"/>
          <w:sz w:val="20"/>
          <w:u w:val="single" w:color="2205FC"/>
        </w:rPr>
        <w:t>TCDF: Decisão nº 1734/2000</w:t>
      </w:r>
    </w:p>
    <w:p w14:paraId="78D56A00" w14:textId="77777777" w:rsidR="00257A3E" w:rsidRDefault="00000000">
      <w:pPr>
        <w:spacing w:after="155" w:line="261" w:lineRule="auto"/>
        <w:ind w:left="18" w:right="0" w:hanging="10"/>
      </w:pPr>
      <w:r>
        <w:rPr>
          <w:b/>
          <w:sz w:val="20"/>
        </w:rPr>
        <w:t>Precedentes externos:</w:t>
      </w:r>
    </w:p>
    <w:p w14:paraId="2E507072" w14:textId="77777777" w:rsidR="00257A3E" w:rsidRDefault="00000000">
      <w:pPr>
        <w:spacing w:after="167" w:line="259" w:lineRule="auto"/>
        <w:ind w:left="18" w:right="0" w:hanging="10"/>
        <w:jc w:val="left"/>
      </w:pPr>
      <w:r>
        <w:rPr>
          <w:color w:val="2205FC"/>
          <w:sz w:val="20"/>
          <w:u w:val="single" w:color="2205FC"/>
        </w:rPr>
        <w:t>Decisão STF nº a ADI nº 2427-PR</w:t>
      </w:r>
    </w:p>
    <w:p w14:paraId="5EF6955C" w14:textId="77777777" w:rsidR="00257A3E" w:rsidRDefault="00000000">
      <w:pPr>
        <w:spacing w:after="60" w:line="417" w:lineRule="auto"/>
        <w:ind w:left="18" w:right="6956" w:hanging="10"/>
        <w:jc w:val="left"/>
      </w:pPr>
      <w:r>
        <w:rPr>
          <w:color w:val="2205FC"/>
          <w:sz w:val="20"/>
          <w:u w:val="single" w:color="2205FC"/>
        </w:rPr>
        <w:t>Decisão STF nº RE nº 719870 Decisão STF nº RE nº  1041210</w:t>
      </w:r>
    </w:p>
    <w:p w14:paraId="34CCE35B" w14:textId="77777777" w:rsidR="00257A3E" w:rsidRDefault="00000000">
      <w:pPr>
        <w:spacing w:after="155" w:line="261" w:lineRule="auto"/>
        <w:ind w:left="18" w:right="0" w:hanging="10"/>
      </w:pPr>
      <w:r>
        <w:rPr>
          <w:b/>
          <w:sz w:val="20"/>
        </w:rPr>
        <w:t>Legislação relacionada:</w:t>
      </w:r>
    </w:p>
    <w:p w14:paraId="333AFA58" w14:textId="77777777" w:rsidR="00257A3E" w:rsidRDefault="00000000">
      <w:pPr>
        <w:spacing w:after="167" w:line="259" w:lineRule="auto"/>
        <w:ind w:left="18" w:right="0" w:hanging="10"/>
        <w:jc w:val="left"/>
      </w:pPr>
      <w:r>
        <w:rPr>
          <w:color w:val="2205FC"/>
          <w:sz w:val="20"/>
          <w:u w:val="single" w:color="2205FC"/>
        </w:rPr>
        <w:t>Lei Complementar nº 840/2011, Art. 156, § 1º.</w:t>
      </w:r>
    </w:p>
    <w:p w14:paraId="78A2C51A" w14:textId="77777777" w:rsidR="00257A3E" w:rsidRDefault="00000000">
      <w:pPr>
        <w:spacing w:after="167" w:line="259" w:lineRule="auto"/>
        <w:ind w:left="18" w:right="0" w:hanging="10"/>
        <w:jc w:val="left"/>
      </w:pPr>
      <w:r>
        <w:rPr>
          <w:color w:val="2205FC"/>
          <w:sz w:val="20"/>
          <w:u w:val="single" w:color="2205FC"/>
        </w:rPr>
        <w:lastRenderedPageBreak/>
        <w:t>Constituição Federal de 1988, Art. 37, XVI.</w:t>
      </w:r>
    </w:p>
    <w:p w14:paraId="17706D0F" w14:textId="77777777" w:rsidR="00257A3E" w:rsidRDefault="00000000">
      <w:pPr>
        <w:tabs>
          <w:tab w:val="center" w:pos="1026"/>
          <w:tab w:val="center" w:pos="2855"/>
          <w:tab w:val="center" w:pos="4763"/>
          <w:tab w:val="center" w:pos="6214"/>
          <w:tab w:val="center" w:pos="7677"/>
          <w:tab w:val="center" w:pos="8801"/>
          <w:tab w:val="right" w:pos="10390"/>
        </w:tabs>
        <w:spacing w:after="7" w:line="259" w:lineRule="auto"/>
        <w:ind w:left="0" w:right="0" w:firstLine="0"/>
        <w:jc w:val="left"/>
      </w:pPr>
      <w:r>
        <w:rPr>
          <w:rFonts w:ascii="Calibri" w:eastAsia="Calibri" w:hAnsi="Calibri" w:cs="Calibri"/>
          <w:sz w:val="22"/>
        </w:rPr>
        <w:tab/>
      </w:r>
      <w:r>
        <w:rPr>
          <w:b/>
          <w:sz w:val="20"/>
        </w:rPr>
        <w:t xml:space="preserve">PESSOAL. </w:t>
      </w:r>
      <w:r>
        <w:rPr>
          <w:b/>
          <w:sz w:val="20"/>
        </w:rPr>
        <w:tab/>
        <w:t xml:space="preserve">REPRESENTAÇÃO. </w:t>
      </w:r>
      <w:r>
        <w:rPr>
          <w:b/>
          <w:sz w:val="20"/>
        </w:rPr>
        <w:tab/>
        <w:t xml:space="preserve">CONCURSO </w:t>
      </w:r>
      <w:r>
        <w:rPr>
          <w:b/>
          <w:sz w:val="20"/>
        </w:rPr>
        <w:tab/>
        <w:t xml:space="preserve">PÚBLICO. </w:t>
      </w:r>
      <w:r>
        <w:rPr>
          <w:b/>
          <w:sz w:val="20"/>
        </w:rPr>
        <w:tab/>
        <w:t xml:space="preserve">NOMEAÇÃO </w:t>
      </w:r>
      <w:r>
        <w:rPr>
          <w:b/>
          <w:sz w:val="20"/>
        </w:rPr>
        <w:tab/>
        <w:t xml:space="preserve">DE </w:t>
      </w:r>
      <w:r>
        <w:rPr>
          <w:b/>
          <w:sz w:val="20"/>
        </w:rPr>
        <w:tab/>
        <w:t>PESSOAL.</w:t>
      </w:r>
    </w:p>
    <w:p w14:paraId="4F14A09B" w14:textId="77777777" w:rsidR="00257A3E" w:rsidRDefault="00000000">
      <w:pPr>
        <w:spacing w:after="0" w:line="273" w:lineRule="auto"/>
        <w:ind w:left="0" w:right="0" w:firstLine="0"/>
        <w:jc w:val="center"/>
      </w:pPr>
      <w:r>
        <w:rPr>
          <w:b/>
          <w:sz w:val="20"/>
        </w:rPr>
        <w:t xml:space="preserve">MOROSIDADE.  PREVISÃO DE VAGAS EM EDITAL. CANDIDATO APROVADO DENTRO DO NÚMERO DE VAGAS. DIREITO À NOMEAÇÃO. PRECEDENTE STF. TRIBUNAL DE CONTAS DO DISTRITO FEDERAL. DETERMINAÇÃO. </w:t>
      </w:r>
      <w:r>
        <w:rPr>
          <w:b/>
          <w:sz w:val="20"/>
        </w:rPr>
        <w:tab/>
        <w:t xml:space="preserve">PLANO </w:t>
      </w:r>
      <w:r>
        <w:rPr>
          <w:b/>
          <w:sz w:val="20"/>
        </w:rPr>
        <w:tab/>
        <w:t xml:space="preserve">DE </w:t>
      </w:r>
      <w:r>
        <w:rPr>
          <w:b/>
          <w:sz w:val="20"/>
        </w:rPr>
        <w:tab/>
        <w:t xml:space="preserve">AÇÃO. </w:t>
      </w:r>
      <w:r>
        <w:rPr>
          <w:b/>
          <w:sz w:val="20"/>
        </w:rPr>
        <w:tab/>
        <w:t xml:space="preserve">DATA. </w:t>
      </w:r>
      <w:r>
        <w:rPr>
          <w:b/>
          <w:sz w:val="20"/>
        </w:rPr>
        <w:tab/>
        <w:t xml:space="preserve">MEDIDAS </w:t>
      </w:r>
      <w:r>
        <w:rPr>
          <w:b/>
          <w:sz w:val="20"/>
        </w:rPr>
        <w:tab/>
        <w:t xml:space="preserve">CONCRETAS. </w:t>
      </w:r>
      <w:r>
        <w:rPr>
          <w:b/>
          <w:sz w:val="20"/>
        </w:rPr>
        <w:tab/>
        <w:t>JUSTIFICATIVA.</w:t>
      </w:r>
    </w:p>
    <w:p w14:paraId="65623113" w14:textId="77777777" w:rsidR="00257A3E" w:rsidRDefault="00000000">
      <w:pPr>
        <w:ind w:left="20" w:right="0"/>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14:anchorId="6332E187" wp14:editId="3202DB40">
                <wp:simplePos x="0" y="0"/>
                <wp:positionH relativeFrom="page">
                  <wp:posOffset>342900</wp:posOffset>
                </wp:positionH>
                <wp:positionV relativeFrom="page">
                  <wp:posOffset>619760</wp:posOffset>
                </wp:positionV>
                <wp:extent cx="145847" cy="320040"/>
                <wp:effectExtent l="0" t="0" r="0" b="0"/>
                <wp:wrapSquare wrapText="bothSides"/>
                <wp:docPr id="14744" name="Group 14744"/>
                <wp:cNvGraphicFramePr/>
                <a:graphic xmlns:a="http://schemas.openxmlformats.org/drawingml/2006/main">
                  <a:graphicData uri="http://schemas.microsoft.com/office/word/2010/wordprocessingGroup">
                    <wpg:wgp>
                      <wpg:cNvGrpSpPr/>
                      <wpg:grpSpPr>
                        <a:xfrm>
                          <a:off x="0" y="0"/>
                          <a:ext cx="145847" cy="320040"/>
                          <a:chOff x="0" y="0"/>
                          <a:chExt cx="145847" cy="320040"/>
                        </a:xfrm>
                      </wpg:grpSpPr>
                      <wps:wsp>
                        <wps:cNvPr id="470" name="Rectangle 470"/>
                        <wps:cNvSpPr/>
                        <wps:spPr>
                          <a:xfrm>
                            <a:off x="0" y="0"/>
                            <a:ext cx="193976" cy="425653"/>
                          </a:xfrm>
                          <a:prstGeom prst="rect">
                            <a:avLst/>
                          </a:prstGeom>
                          <a:ln>
                            <a:noFill/>
                          </a:ln>
                        </wps:spPr>
                        <wps:txbx>
                          <w:txbxContent>
                            <w:p w14:paraId="03A32EEA" w14:textId="77777777" w:rsidR="00257A3E" w:rsidRDefault="00000000">
                              <w:pPr>
                                <w:spacing w:after="160" w:line="259" w:lineRule="auto"/>
                                <w:ind w:left="0" w:right="0" w:firstLine="0"/>
                                <w:jc w:val="left"/>
                              </w:pPr>
                              <w:r>
                                <w:rPr>
                                  <w:rFonts w:ascii="Calibri" w:eastAsia="Calibri" w:hAnsi="Calibri" w:cs="Calibri"/>
                                  <w:color w:val="1D9955"/>
                                  <w:w w:val="125"/>
                                  <w:sz w:val="36"/>
                                </w:rPr>
                                <w:t>8</w:t>
                              </w:r>
                            </w:p>
                          </w:txbxContent>
                        </wps:txbx>
                        <wps:bodyPr horzOverflow="overflow" vert="horz" lIns="0" tIns="0" rIns="0" bIns="0" rtlCol="0">
                          <a:noAutofit/>
                        </wps:bodyPr>
                      </wps:wsp>
                    </wpg:wgp>
                  </a:graphicData>
                </a:graphic>
              </wp:anchor>
            </w:drawing>
          </mc:Choice>
          <mc:Fallback xmlns:a="http://schemas.openxmlformats.org/drawingml/2006/main">
            <w:pict>
              <v:group id="Group 14744" style="width:11.484pt;height:25.2pt;position:absolute;mso-position-horizontal-relative:page;mso-position-horizontal:absolute;margin-left:27pt;mso-position-vertical-relative:page;margin-top:48.8pt;" coordsize="1458,3200">
                <v:rect id="Rectangle 470" style="position:absolute;width:1939;height:4256;left:0;top:0;" filled="f" stroked="f">
                  <v:textbox inset="0,0,0,0">
                    <w:txbxContent>
                      <w:p>
                        <w:pPr>
                          <w:spacing w:before="0" w:after="160" w:line="259" w:lineRule="auto"/>
                          <w:ind w:left="0" w:right="0" w:firstLine="0"/>
                          <w:jc w:val="left"/>
                        </w:pPr>
                        <w:r>
                          <w:rPr>
                            <w:rFonts w:cs="Calibri" w:hAnsi="Calibri" w:eastAsia="Calibri" w:ascii="Calibri"/>
                            <w:color w:val="1d9955"/>
                            <w:w w:val="125"/>
                            <w:sz w:val="36"/>
                          </w:rPr>
                          <w:t xml:space="preserve">8</w:t>
                        </w:r>
                      </w:p>
                    </w:txbxContent>
                  </v:textbox>
                </v:rect>
                <w10:wrap type="square"/>
              </v:group>
            </w:pict>
          </mc:Fallback>
        </mc:AlternateContent>
      </w:r>
      <w:r>
        <w:t>Representação formulada por deputados acerca de possível omissão e morosidade nas nomeações de aprovados em concurso público com vagas previstas em edital. O relator argumentou ser importante lembrar sobre o mérito do gestor e a respectiva competência para definir o momento mais adequado para provimento de cargos. Entretanto, a partir de uma leitura acurada do Recurso Extraordinário nº 598099 do STF, observa-se que a Administração Pública não poderá dispor sobre a nomeação dos aprovados, ou seja, o provimento de todas as vagas previstas configura-se, em realidade, um dever imposto ao Poder Público, sob pena de o Estado responder judicialmente em casos de inação. O relator ressaltou que as únicas situações nas quais se pode deixar de nomear candidato aprovado dentro das vagas previstas no edital também foram definidas pelo STF. Assim, o Tribunal decidiu determinar ao jurisdicionado e, em especial, a Secretaria de Estado de Economia do Distrito Federal – SEEC/DF que enviem a esta Corte de Contas, no prazo de 15 (quinze) dias, plano de ação com datas e medidas concretas a serem implementadas, visando a nomeação do total de vagas previstas no respectivo edital ou apresentem circunstanciadas justificativas aptas a afastar as nomeações, nos termos delineados pelo Supremo Tribunal Federal - STF no RE 598099 MS.</w:t>
      </w:r>
    </w:p>
    <w:p w14:paraId="03018CC8" w14:textId="77777777" w:rsidR="00257A3E" w:rsidRDefault="00257A3E">
      <w:pPr>
        <w:sectPr w:rsidR="00257A3E">
          <w:headerReference w:type="even" r:id="rId26"/>
          <w:headerReference w:type="default" r:id="rId27"/>
          <w:footerReference w:type="even" r:id="rId28"/>
          <w:footerReference w:type="default" r:id="rId29"/>
          <w:headerReference w:type="first" r:id="rId30"/>
          <w:footerReference w:type="first" r:id="rId31"/>
          <w:pgSz w:w="11900" w:h="16840"/>
          <w:pgMar w:top="1004" w:right="330" w:bottom="6291" w:left="1180" w:header="297" w:footer="54" w:gutter="0"/>
          <w:cols w:space="720"/>
          <w:titlePg/>
        </w:sectPr>
      </w:pPr>
    </w:p>
    <w:p w14:paraId="6D829731" w14:textId="77777777" w:rsidR="00257A3E" w:rsidRDefault="00000000">
      <w:pPr>
        <w:spacing w:after="50" w:line="261" w:lineRule="auto"/>
        <w:ind w:left="-230" w:right="0" w:hanging="10"/>
      </w:pPr>
      <w:r>
        <w:rPr>
          <w:b/>
          <w:sz w:val="20"/>
        </w:rPr>
        <w:t>Relator:</w:t>
      </w:r>
    </w:p>
    <w:p w14:paraId="45EF1808" w14:textId="77777777" w:rsidR="00257A3E" w:rsidRDefault="00000000">
      <w:pPr>
        <w:spacing w:after="155" w:line="261" w:lineRule="auto"/>
        <w:ind w:left="-230" w:right="0" w:hanging="10"/>
      </w:pPr>
      <w:r>
        <w:rPr>
          <w:b/>
          <w:sz w:val="20"/>
        </w:rPr>
        <w:t>Inácio Magalhães Filho</w:t>
      </w:r>
    </w:p>
    <w:p w14:paraId="0079C49A" w14:textId="77777777" w:rsidR="00257A3E" w:rsidRDefault="00000000">
      <w:pPr>
        <w:spacing w:after="410" w:line="261" w:lineRule="auto"/>
        <w:ind w:left="-230" w:right="0" w:hanging="10"/>
      </w:pPr>
      <w:r>
        <w:rPr>
          <w:b/>
          <w:sz w:val="20"/>
        </w:rPr>
        <w:t>Decisão por unanimidade</w:t>
      </w:r>
    </w:p>
    <w:p w14:paraId="5A77E551" w14:textId="77777777" w:rsidR="00257A3E" w:rsidRDefault="00000000">
      <w:pPr>
        <w:spacing w:after="155" w:line="261" w:lineRule="auto"/>
        <w:ind w:left="-230" w:right="0" w:hanging="10"/>
      </w:pPr>
      <w:r>
        <w:rPr>
          <w:b/>
          <w:sz w:val="20"/>
        </w:rPr>
        <w:t>Precedentes externos:</w:t>
      </w:r>
    </w:p>
    <w:p w14:paraId="44A5360F" w14:textId="77777777" w:rsidR="00257A3E" w:rsidRDefault="00000000">
      <w:pPr>
        <w:spacing w:after="52" w:line="259" w:lineRule="auto"/>
        <w:ind w:left="-230" w:right="0" w:hanging="10"/>
        <w:jc w:val="left"/>
      </w:pPr>
      <w:r>
        <w:rPr>
          <w:color w:val="2205FC"/>
          <w:sz w:val="20"/>
          <w:u w:val="single" w:color="2205FC"/>
        </w:rPr>
        <w:t xml:space="preserve">Decisão STF nº RE nº 598099 </w:t>
      </w:r>
      <w:r>
        <w:rPr>
          <w:b/>
          <w:sz w:val="20"/>
        </w:rPr>
        <w:t>Sessão:</w:t>
      </w:r>
    </w:p>
    <w:p w14:paraId="1117B664" w14:textId="77777777" w:rsidR="00257A3E" w:rsidRDefault="00000000">
      <w:pPr>
        <w:spacing w:after="155" w:line="261" w:lineRule="auto"/>
        <w:ind w:left="18" w:right="0" w:hanging="10"/>
      </w:pPr>
      <w:r>
        <w:rPr>
          <w:b/>
          <w:sz w:val="20"/>
        </w:rPr>
        <w:t>ORDINÁRIA nº 5422, de 14/05/2025.</w:t>
      </w:r>
    </w:p>
    <w:p w14:paraId="55BCE51B" w14:textId="77777777" w:rsidR="00257A3E" w:rsidRDefault="00000000">
      <w:pPr>
        <w:spacing w:after="167" w:line="259" w:lineRule="auto"/>
        <w:ind w:left="18" w:right="0" w:hanging="10"/>
        <w:jc w:val="left"/>
      </w:pPr>
      <w:r>
        <w:rPr>
          <w:color w:val="2205FC"/>
          <w:sz w:val="20"/>
          <w:u w:val="single" w:color="2205FC"/>
        </w:rPr>
        <w:t>Proc. nº 11667/2024 - Dec. nº 1640/2025</w:t>
      </w:r>
      <w:r>
        <w:br w:type="page"/>
      </w:r>
    </w:p>
    <w:tbl>
      <w:tblPr>
        <w:tblStyle w:val="TableGrid"/>
        <w:tblpPr w:vertAnchor="text" w:horzAnchor="margin"/>
        <w:tblOverlap w:val="never"/>
        <w:tblW w:w="9108" w:type="dxa"/>
        <w:tblInd w:w="0" w:type="dxa"/>
        <w:tblCellMar>
          <w:top w:w="0" w:type="dxa"/>
          <w:left w:w="0" w:type="dxa"/>
          <w:bottom w:w="0" w:type="dxa"/>
          <w:right w:w="0" w:type="dxa"/>
        </w:tblCellMar>
        <w:tblLook w:val="04A0" w:firstRow="1" w:lastRow="0" w:firstColumn="1" w:lastColumn="0" w:noHBand="0" w:noVBand="1"/>
      </w:tblPr>
      <w:tblGrid>
        <w:gridCol w:w="9108"/>
      </w:tblGrid>
      <w:tr w:rsidR="00257A3E" w14:paraId="146BD9A3" w14:textId="77777777">
        <w:trPr>
          <w:trHeight w:val="7099"/>
        </w:trPr>
        <w:tc>
          <w:tcPr>
            <w:tcW w:w="10434" w:type="dxa"/>
            <w:tcBorders>
              <w:top w:val="nil"/>
              <w:left w:val="nil"/>
              <w:bottom w:val="nil"/>
              <w:right w:val="nil"/>
            </w:tcBorders>
          </w:tcPr>
          <w:p w14:paraId="4AAE2149" w14:textId="77777777" w:rsidR="00257A3E" w:rsidRDefault="00000000">
            <w:pPr>
              <w:spacing w:after="2" w:line="263" w:lineRule="auto"/>
              <w:ind w:left="660" w:right="-1930" w:firstLine="500"/>
            </w:pPr>
            <w:r>
              <w:rPr>
                <w:rFonts w:ascii="Calibri" w:eastAsia="Calibri" w:hAnsi="Calibri" w:cs="Calibri"/>
                <w:noProof/>
                <w:sz w:val="22"/>
              </w:rPr>
              <w:lastRenderedPageBreak/>
              <mc:AlternateContent>
                <mc:Choice Requires="wpg">
                  <w:drawing>
                    <wp:anchor distT="0" distB="0" distL="114300" distR="114300" simplePos="0" relativeHeight="251666432" behindDoc="0" locked="0" layoutInCell="1" allowOverlap="1" wp14:anchorId="32A1EC9C" wp14:editId="08FEE5A8">
                      <wp:simplePos x="0" y="0"/>
                      <wp:positionH relativeFrom="column">
                        <wp:posOffset>0</wp:posOffset>
                      </wp:positionH>
                      <wp:positionV relativeFrom="paragraph">
                        <wp:posOffset>-17779</wp:posOffset>
                      </wp:positionV>
                      <wp:extent cx="145161" cy="320040"/>
                      <wp:effectExtent l="0" t="0" r="0" b="0"/>
                      <wp:wrapSquare wrapText="bothSides"/>
                      <wp:docPr id="14986" name="Group 14986"/>
                      <wp:cNvGraphicFramePr/>
                      <a:graphic xmlns:a="http://schemas.openxmlformats.org/drawingml/2006/main">
                        <a:graphicData uri="http://schemas.microsoft.com/office/word/2010/wordprocessingGroup">
                          <wpg:wgp>
                            <wpg:cNvGrpSpPr/>
                            <wpg:grpSpPr>
                              <a:xfrm>
                                <a:off x="0" y="0"/>
                                <a:ext cx="145161" cy="320040"/>
                                <a:chOff x="0" y="0"/>
                                <a:chExt cx="145161" cy="320040"/>
                              </a:xfrm>
                            </wpg:grpSpPr>
                            <wps:wsp>
                              <wps:cNvPr id="527" name="Rectangle 527"/>
                              <wps:cNvSpPr/>
                              <wps:spPr>
                                <a:xfrm>
                                  <a:off x="0" y="0"/>
                                  <a:ext cx="193064" cy="425653"/>
                                </a:xfrm>
                                <a:prstGeom prst="rect">
                                  <a:avLst/>
                                </a:prstGeom>
                                <a:ln>
                                  <a:noFill/>
                                </a:ln>
                              </wps:spPr>
                              <wps:txbx>
                                <w:txbxContent>
                                  <w:p w14:paraId="36ACCF7B" w14:textId="77777777" w:rsidR="00257A3E" w:rsidRDefault="00000000">
                                    <w:pPr>
                                      <w:spacing w:after="160" w:line="259" w:lineRule="auto"/>
                                      <w:ind w:left="0" w:right="0" w:firstLine="0"/>
                                      <w:jc w:val="left"/>
                                    </w:pPr>
                                    <w:r>
                                      <w:rPr>
                                        <w:rFonts w:ascii="Calibri" w:eastAsia="Calibri" w:hAnsi="Calibri" w:cs="Calibri"/>
                                        <w:color w:val="1D9955"/>
                                        <w:w w:val="125"/>
                                        <w:sz w:val="36"/>
                                      </w:rPr>
                                      <w:t>9</w:t>
                                    </w:r>
                                  </w:p>
                                </w:txbxContent>
                              </wps:txbx>
                              <wps:bodyPr horzOverflow="overflow" vert="horz" lIns="0" tIns="0" rIns="0" bIns="0" rtlCol="0">
                                <a:noAutofit/>
                              </wps:bodyPr>
                            </wps:wsp>
                          </wpg:wgp>
                        </a:graphicData>
                      </a:graphic>
                    </wp:anchor>
                  </w:drawing>
                </mc:Choice>
                <mc:Fallback xmlns:a="http://schemas.openxmlformats.org/drawingml/2006/main">
                  <w:pict>
                    <v:group id="Group 14986" style="width:11.43pt;height:25.2pt;position:absolute;mso-position-horizontal-relative:text;mso-position-horizontal:absolute;margin-left:0pt;mso-position-vertical-relative:text;margin-top:-1.40002pt;" coordsize="1451,3200">
                      <v:rect id="Rectangle 527" style="position:absolute;width:1930;height:4256;left:0;top:0;" filled="f" stroked="f">
                        <v:textbox inset="0,0,0,0">
                          <w:txbxContent>
                            <w:p>
                              <w:pPr>
                                <w:spacing w:before="0" w:after="160" w:line="259" w:lineRule="auto"/>
                                <w:ind w:left="0" w:right="0" w:firstLine="0"/>
                                <w:jc w:val="left"/>
                              </w:pPr>
                              <w:r>
                                <w:rPr>
                                  <w:rFonts w:cs="Calibri" w:hAnsi="Calibri" w:eastAsia="Calibri" w:ascii="Calibri"/>
                                  <w:color w:val="1d9955"/>
                                  <w:w w:val="125"/>
                                  <w:sz w:val="36"/>
                                </w:rPr>
                                <w:t xml:space="preserve">9</w:t>
                              </w:r>
                            </w:p>
                          </w:txbxContent>
                        </v:textbox>
                      </v:rect>
                      <w10:wrap type="square"/>
                    </v:group>
                  </w:pict>
                </mc:Fallback>
              </mc:AlternateContent>
            </w:r>
            <w:r>
              <w:rPr>
                <w:b/>
                <w:sz w:val="20"/>
              </w:rPr>
              <w:t>PESSOAL. REPRESENTAÇÃO. SERVIDOR PÚBLICO DISTRITAL. AUXÍLIO-TRANSPORTE. PAGAMENTO. NATUREZA INDENIZATÓRIA. JORNADA DE TRABALHO. DESLOCAMENTO</w:t>
            </w:r>
          </w:p>
          <w:p w14:paraId="153FDD9D" w14:textId="77777777" w:rsidR="00257A3E" w:rsidRDefault="00000000">
            <w:pPr>
              <w:spacing w:after="0"/>
              <w:ind w:left="660" w:right="-1930" w:firstLine="0"/>
            </w:pPr>
            <w:r>
              <w:rPr>
                <w:b/>
                <w:sz w:val="20"/>
              </w:rPr>
              <w:t>INTERESTADUAL. ESCALA DE PLANTÃO. TRANSPORTE COLETIVO. SERVIDOR IDOSO.  RECEBIMENTO. USO DE VEÍCULO PRÓPRIO. POSSIBILIDADE.  LEI COMPLEMENTAR Nº 840/2011. REGULAMENTAÇÃO. DEFINIÇÃO DE PARÂMETROS.</w:t>
            </w:r>
          </w:p>
          <w:p w14:paraId="4E259FAF" w14:textId="77777777" w:rsidR="00257A3E" w:rsidRDefault="00000000">
            <w:pPr>
              <w:spacing w:after="0" w:line="259" w:lineRule="auto"/>
              <w:ind w:left="660" w:right="-1903" w:firstLine="247"/>
            </w:pPr>
            <w:r>
              <w:t xml:space="preserve">  Tratou-se de Representação oferecida pelo Ministério Público que atua junto ao TCDF em virtude de possível irregularidade no pagamento de auxílio-transporte no âmbito da SES/DF, notadamente em relação aos servidores que residem fora do Distrito Federal. O Tribunal considerou, no mérito, parcialmente procedente a Representação, haja vista a constatação de pagamentos de auxílio-transporte a servidores cujas residências encontram-se demasiadamente distantes do seu local de trabalho, tornando, em tese, inviável o deslocamento no intervalo entre as jornadas laborais, o que inviabiliza a referida indenização. A Corte decidiu determinar à SES/DF que, no prazo de 90 (noventa) dias: 1) encaminhe a este Tribunal o resultado dos processos de fiscalização e auditoria abertos para verificar pagamentos irregulares de auxílio-transporte; 2) efetue o recadastramento de todos os servidores que recebem auxílio-transporte, nos termos do Decreto nº 46.842/2025 e em observância ao Ofício Circular nº 6/2024 – SEEC/SEGEA/SUGEP/UAFP; 3) juntamente com a Secretaria de Estado de Economia do Distrito Federal - SEEC/DF, órgão responsável pelo SIGRH, envide esforços a fim de adotar as medidas necessárias ao aprimoramento dos controles internos administrativos para a concessão do auxílio-transporte, em especial a integração entre os diversos sistemas que operacionalizam o pagamento desse benefício. O Tribunal também decidiu recomendar ao Poder Executivo do Distrito Federal que submeta à apreciação da Câmara Legislativa do Distrito Federal projeto de lei que estabeleça critérios objetivos para concessão do auxílio-transporte, em conformidade com os princípios da economicidade e da razoabilidade, tais como: definição de parâmetros de distância, identificação do modal de transporte e exigência de comprovação periódica de gastos, bem como procedimentos que incluam verificação sistemática da legalidade e pertinência dos pagamentos, entre outros. Por fim, decidiu essa corte por orientar o Complexo Administrativo do Governo do Distrito Federal que: 1) é vedada a imposição de exigências ou restrições não previstas em lei para a concessão do auxíliotransporte previsto nos arts. 107 a 110 da LC nº 840/2011; 2) em tese, se o tempo de deslocamento entre a casa e o trabalho superar o próprio intervalo entre as jornadas não será devido o auxílio-transporte para esse trecho, diante da evidente inviabilidade material do trajeto, cabendo ao servidor, neste caso, apresentar documentos que provem o contrário; 3) em caso de agrupamento de plantões é viável o pagamento do auxílio-transporte referente aos deslocamentos possíveis de serem realizados dentro da escala de trabalho; 4) a gratuidade no transporte coletivo público conferida aos idosos, nos termos da Lei distrital nº 2.250/1998, com as alterações promovidas pela Lei distrital n.º 7.298/2023, não constitui óbice à concessão do auxílio-transporte aos servidores públicos distritais que se enquadrem nessa situação, observados, no entanto, os limites dispostos nos arts. 107 e 108 da Lei Complementar n.º 840/2011, com a regulamentação dada pelo art. 2 º da Portaria SEPLAG </w:t>
            </w:r>
          </w:p>
        </w:tc>
      </w:tr>
    </w:tbl>
    <w:p w14:paraId="08890C9F" w14:textId="77777777" w:rsidR="00257A3E" w:rsidRDefault="00000000">
      <w:pPr>
        <w:spacing w:after="129"/>
        <w:ind w:left="-240" w:right="0" w:firstLine="0"/>
      </w:pPr>
      <w:r>
        <w:t>nº 124/2018.</w:t>
      </w:r>
    </w:p>
    <w:p w14:paraId="0CB5F167" w14:textId="77777777" w:rsidR="00257A3E" w:rsidRDefault="00000000">
      <w:pPr>
        <w:spacing w:after="50" w:line="261" w:lineRule="auto"/>
        <w:ind w:left="-230" w:right="0" w:hanging="10"/>
      </w:pPr>
      <w:r>
        <w:rPr>
          <w:b/>
          <w:sz w:val="20"/>
        </w:rPr>
        <w:t>Relator:</w:t>
      </w:r>
    </w:p>
    <w:p w14:paraId="3AFAB464" w14:textId="77777777" w:rsidR="00257A3E" w:rsidRDefault="00000000">
      <w:pPr>
        <w:spacing w:after="155" w:line="261" w:lineRule="auto"/>
        <w:ind w:left="-230" w:right="0" w:hanging="10"/>
      </w:pPr>
      <w:r>
        <w:rPr>
          <w:b/>
          <w:sz w:val="20"/>
        </w:rPr>
        <w:t>Paulo Tadeu Vale Da Silva</w:t>
      </w:r>
    </w:p>
    <w:p w14:paraId="3EE72E1B" w14:textId="77777777" w:rsidR="00257A3E" w:rsidRDefault="00000000">
      <w:pPr>
        <w:spacing w:after="470" w:line="261" w:lineRule="auto"/>
        <w:ind w:left="-230" w:right="0" w:hanging="10"/>
      </w:pPr>
      <w:r>
        <w:rPr>
          <w:b/>
          <w:sz w:val="20"/>
        </w:rPr>
        <w:t>Decisão por unanimidade</w:t>
      </w:r>
    </w:p>
    <w:p w14:paraId="45E08A1D" w14:textId="77777777" w:rsidR="00257A3E" w:rsidRDefault="00000000">
      <w:pPr>
        <w:spacing w:after="155" w:line="261" w:lineRule="auto"/>
        <w:ind w:left="-230" w:right="0" w:hanging="10"/>
      </w:pPr>
      <w:r>
        <w:rPr>
          <w:b/>
          <w:sz w:val="20"/>
        </w:rPr>
        <w:t>Legislação relacionada:</w:t>
      </w:r>
    </w:p>
    <w:p w14:paraId="521F5F3D" w14:textId="77777777" w:rsidR="00257A3E" w:rsidRDefault="00000000">
      <w:pPr>
        <w:spacing w:after="167" w:line="259" w:lineRule="auto"/>
        <w:ind w:left="-230" w:right="0" w:hanging="10"/>
        <w:jc w:val="left"/>
      </w:pPr>
      <w:r>
        <w:rPr>
          <w:color w:val="2205FC"/>
          <w:sz w:val="20"/>
          <w:u w:val="single" w:color="2205FC"/>
        </w:rPr>
        <w:t>Lei Complementar nº 840/2011, Art. 107.</w:t>
      </w:r>
    </w:p>
    <w:p w14:paraId="189585CC" w14:textId="77777777" w:rsidR="00257A3E" w:rsidRDefault="00000000">
      <w:pPr>
        <w:spacing w:after="167" w:line="259" w:lineRule="auto"/>
        <w:ind w:left="-230" w:right="0" w:hanging="10"/>
        <w:jc w:val="left"/>
      </w:pPr>
      <w:r>
        <w:rPr>
          <w:color w:val="2205FC"/>
          <w:sz w:val="20"/>
          <w:u w:val="single" w:color="2205FC"/>
        </w:rPr>
        <w:t>Lei Complementar nº 840/2011, Art. 108.</w:t>
      </w:r>
    </w:p>
    <w:p w14:paraId="3B3AA665" w14:textId="77777777" w:rsidR="00257A3E" w:rsidRDefault="00000000">
      <w:pPr>
        <w:spacing w:after="167" w:line="259" w:lineRule="auto"/>
        <w:ind w:left="-230" w:right="0" w:hanging="10"/>
        <w:jc w:val="left"/>
      </w:pPr>
      <w:r>
        <w:rPr>
          <w:color w:val="2205FC"/>
          <w:sz w:val="20"/>
          <w:u w:val="single" w:color="2205FC"/>
        </w:rPr>
        <w:t>Lei Complementar nº 840/2011, Art. 109.</w:t>
      </w:r>
    </w:p>
    <w:p w14:paraId="540E4EE0" w14:textId="77777777" w:rsidR="00257A3E" w:rsidRDefault="00000000">
      <w:pPr>
        <w:spacing w:after="167" w:line="259" w:lineRule="auto"/>
        <w:ind w:left="-230" w:right="0" w:hanging="10"/>
        <w:jc w:val="left"/>
      </w:pPr>
      <w:r>
        <w:rPr>
          <w:color w:val="2205FC"/>
          <w:sz w:val="20"/>
          <w:u w:val="single" w:color="2205FC"/>
        </w:rPr>
        <w:t>Lei Complementar nº 840/2011, Art. 110.</w:t>
      </w:r>
    </w:p>
    <w:p w14:paraId="43F4CD94" w14:textId="77777777" w:rsidR="00257A3E" w:rsidRDefault="00000000">
      <w:pPr>
        <w:spacing w:after="50" w:line="261" w:lineRule="auto"/>
        <w:ind w:left="18" w:right="0" w:hanging="10"/>
      </w:pPr>
      <w:r>
        <w:rPr>
          <w:b/>
          <w:sz w:val="20"/>
        </w:rPr>
        <w:t>Sessão:</w:t>
      </w:r>
    </w:p>
    <w:p w14:paraId="217F7751" w14:textId="77777777" w:rsidR="00257A3E" w:rsidRDefault="00000000">
      <w:pPr>
        <w:spacing w:after="155" w:line="261" w:lineRule="auto"/>
        <w:ind w:left="18" w:right="0" w:hanging="10"/>
      </w:pPr>
      <w:r>
        <w:rPr>
          <w:b/>
          <w:sz w:val="20"/>
        </w:rPr>
        <w:t>ORDINÁRIA nº 5423, de 21/05/2025.</w:t>
      </w:r>
    </w:p>
    <w:p w14:paraId="32111C05" w14:textId="77777777" w:rsidR="00257A3E" w:rsidRDefault="00000000">
      <w:pPr>
        <w:spacing w:after="167" w:line="259" w:lineRule="auto"/>
        <w:ind w:left="18" w:right="0" w:hanging="10"/>
        <w:jc w:val="left"/>
      </w:pPr>
      <w:r>
        <w:rPr>
          <w:color w:val="2205FC"/>
          <w:sz w:val="20"/>
          <w:u w:val="single" w:color="2205FC"/>
        </w:rPr>
        <w:t>Proc. nº 13044/2024 - Dec. nº 1805/2025</w:t>
      </w:r>
    </w:p>
    <w:p w14:paraId="556CAB21" w14:textId="77777777" w:rsidR="00257A3E" w:rsidRDefault="00257A3E">
      <w:pPr>
        <w:sectPr w:rsidR="00257A3E">
          <w:type w:val="continuous"/>
          <w:pgSz w:w="11900" w:h="16840"/>
          <w:pgMar w:top="976" w:right="1440" w:bottom="1440" w:left="1440" w:header="720" w:footer="720" w:gutter="0"/>
          <w:cols w:num="2" w:space="720" w:equalWidth="0">
            <w:col w:w="2874" w:space="2251"/>
            <w:col w:w="3895"/>
          </w:cols>
        </w:sectPr>
      </w:pPr>
    </w:p>
    <w:p w14:paraId="44EDFD7C" w14:textId="77777777" w:rsidR="00257A3E" w:rsidRDefault="00000000">
      <w:pPr>
        <w:numPr>
          <w:ilvl w:val="0"/>
          <w:numId w:val="2"/>
        </w:numPr>
        <w:spacing w:after="0" w:line="412" w:lineRule="auto"/>
        <w:ind w:right="0" w:hanging="1160"/>
      </w:pPr>
      <w:r>
        <w:rPr>
          <w:b/>
          <w:sz w:val="20"/>
        </w:rPr>
        <w:t>DENÚNCIA. SECRETARIA DE ESTADO DE ECONOMIA DO DISTRITO FEDERAL. SUPOSTAS IRREGULARIDADES NA CONDUÇÃO DO CURSO DE FORMAÇÃO PROFISSIONAL. CONCURSO PÚBLICO.</w:t>
      </w:r>
    </w:p>
    <w:p w14:paraId="7922587B" w14:textId="77777777" w:rsidR="00257A3E" w:rsidRDefault="00000000">
      <w:pPr>
        <w:spacing w:after="3" w:line="261" w:lineRule="auto"/>
        <w:ind w:left="670" w:right="0" w:hanging="10"/>
      </w:pPr>
      <w:r>
        <w:rPr>
          <w:b/>
          <w:sz w:val="20"/>
        </w:rPr>
        <w:t>EDITAL 1/22 SEPLAD/DF. PROVIMENTO DE VAGAS E FORMAÇÃO DE CADASTRO RESERVA. CARGO DE AUDITOR DE CONTROLE INTERNO DA CONTROLADORIA-GERAL DO DISTRITO FEDERAL. IMPROCEDÊNCIA. ARQUIVAMENTO. PEDIDO DE REEXAME. CONHECIMENTO. ANÁLISE DO MÉRITO RECURSAL. IMPROCEDÊNCIA. ARQUIVAMENTO.</w:t>
      </w:r>
    </w:p>
    <w:p w14:paraId="35A9701A" w14:textId="77777777" w:rsidR="00257A3E" w:rsidRDefault="00000000">
      <w:pPr>
        <w:ind w:left="660" w:right="0"/>
      </w:pPr>
      <w:r>
        <w:t xml:space="preserve">O surgimento de fato novo, não apreciável à época da deliberação originária, mas dissociado do objeto inicial da denúncia, não tem o condão de alterar a situação fático-jurídica então considerada, impondo-se o improvimento, com a manutenção do </w:t>
      </w:r>
      <w:r>
        <w:lastRenderedPageBreak/>
        <w:t>decisum, em respeito aos princípios do contraditório, ampla defesa, segurança jurídica, lealdade processual, coisa julgada e verdade real, resguardando a regularidade do processo e a estabilidade das decisões.</w:t>
      </w:r>
    </w:p>
    <w:tbl>
      <w:tblPr>
        <w:tblStyle w:val="TableGrid"/>
        <w:tblW w:w="9248" w:type="dxa"/>
        <w:tblInd w:w="-140" w:type="dxa"/>
        <w:tblCellMar>
          <w:top w:w="0" w:type="dxa"/>
          <w:left w:w="0" w:type="dxa"/>
          <w:bottom w:w="0" w:type="dxa"/>
          <w:right w:w="0" w:type="dxa"/>
        </w:tblCellMar>
        <w:tblLook w:val="04A0" w:firstRow="1" w:lastRow="0" w:firstColumn="1" w:lastColumn="0" w:noHBand="0" w:noVBand="1"/>
      </w:tblPr>
      <w:tblGrid>
        <w:gridCol w:w="5600"/>
        <w:gridCol w:w="3648"/>
      </w:tblGrid>
      <w:tr w:rsidR="00257A3E" w14:paraId="2910C42B" w14:textId="77777777">
        <w:trPr>
          <w:trHeight w:val="1866"/>
        </w:trPr>
        <w:tc>
          <w:tcPr>
            <w:tcW w:w="5600" w:type="dxa"/>
            <w:tcBorders>
              <w:top w:val="nil"/>
              <w:left w:val="nil"/>
              <w:bottom w:val="nil"/>
              <w:right w:val="nil"/>
            </w:tcBorders>
          </w:tcPr>
          <w:p w14:paraId="403E7461" w14:textId="77777777" w:rsidR="00257A3E" w:rsidRDefault="00000000">
            <w:pPr>
              <w:spacing w:after="52" w:line="259" w:lineRule="auto"/>
              <w:ind w:right="0" w:firstLine="0"/>
              <w:jc w:val="left"/>
            </w:pPr>
            <w:r>
              <w:rPr>
                <w:b/>
                <w:sz w:val="20"/>
              </w:rPr>
              <w:t>Relator:</w:t>
            </w:r>
          </w:p>
          <w:p w14:paraId="37038C66" w14:textId="77777777" w:rsidR="00257A3E" w:rsidRDefault="00000000">
            <w:pPr>
              <w:spacing w:after="152" w:line="259" w:lineRule="auto"/>
              <w:ind w:right="0" w:firstLine="0"/>
              <w:jc w:val="left"/>
            </w:pPr>
            <w:r>
              <w:rPr>
                <w:b/>
                <w:sz w:val="20"/>
              </w:rPr>
              <w:t>André Clemente Lara De Oliveira</w:t>
            </w:r>
          </w:p>
          <w:p w14:paraId="1E2DF2C2" w14:textId="77777777" w:rsidR="00257A3E" w:rsidRDefault="00000000">
            <w:pPr>
              <w:spacing w:after="683" w:line="259" w:lineRule="auto"/>
              <w:ind w:right="0" w:firstLine="0"/>
              <w:jc w:val="left"/>
            </w:pPr>
            <w:r>
              <w:rPr>
                <w:b/>
                <w:sz w:val="20"/>
              </w:rPr>
              <w:t>Decisão por unanimidade</w:t>
            </w:r>
          </w:p>
          <w:p w14:paraId="63C6BDD0" w14:textId="77777777" w:rsidR="00257A3E" w:rsidRDefault="00000000">
            <w:pPr>
              <w:spacing w:after="0" w:line="259" w:lineRule="auto"/>
              <w:ind w:left="0" w:right="0" w:firstLine="0"/>
              <w:jc w:val="left"/>
            </w:pPr>
            <w:r>
              <w:rPr>
                <w:rFonts w:ascii="Calibri" w:eastAsia="Calibri" w:hAnsi="Calibri" w:cs="Calibri"/>
                <w:b/>
                <w:color w:val="1D9955"/>
                <w:sz w:val="26"/>
              </w:rPr>
              <w:t>Pessoal</w:t>
            </w:r>
          </w:p>
        </w:tc>
        <w:tc>
          <w:tcPr>
            <w:tcW w:w="3648" w:type="dxa"/>
            <w:tcBorders>
              <w:top w:val="nil"/>
              <w:left w:val="nil"/>
              <w:bottom w:val="nil"/>
              <w:right w:val="nil"/>
            </w:tcBorders>
          </w:tcPr>
          <w:p w14:paraId="5A6CBD63" w14:textId="77777777" w:rsidR="00257A3E" w:rsidRDefault="00000000">
            <w:pPr>
              <w:spacing w:after="52" w:line="259" w:lineRule="auto"/>
              <w:ind w:left="0" w:right="0" w:firstLine="0"/>
              <w:jc w:val="left"/>
            </w:pPr>
            <w:r>
              <w:rPr>
                <w:b/>
                <w:sz w:val="20"/>
              </w:rPr>
              <w:t>Sessão:</w:t>
            </w:r>
          </w:p>
          <w:p w14:paraId="18AA5D3A" w14:textId="77777777" w:rsidR="00257A3E" w:rsidRDefault="00000000">
            <w:pPr>
              <w:spacing w:after="152" w:line="259" w:lineRule="auto"/>
              <w:ind w:left="0" w:right="0" w:firstLine="0"/>
              <w:jc w:val="left"/>
            </w:pPr>
            <w:r>
              <w:rPr>
                <w:b/>
                <w:sz w:val="20"/>
              </w:rPr>
              <w:t>ORDINÁRIA nº 5426, de 11/06/2025.</w:t>
            </w:r>
          </w:p>
          <w:p w14:paraId="5AC740E0" w14:textId="77777777" w:rsidR="00257A3E" w:rsidRDefault="00000000">
            <w:pPr>
              <w:spacing w:after="0" w:line="259" w:lineRule="auto"/>
              <w:ind w:left="0" w:right="0" w:firstLine="0"/>
            </w:pPr>
            <w:r>
              <w:rPr>
                <w:color w:val="2205FC"/>
                <w:sz w:val="20"/>
                <w:u w:val="single" w:color="2205FC"/>
              </w:rPr>
              <w:t>Proc. nº 16519/2023 - Dec. nº 2116/2025</w:t>
            </w:r>
          </w:p>
        </w:tc>
      </w:tr>
    </w:tbl>
    <w:p w14:paraId="03426397" w14:textId="77777777" w:rsidR="00257A3E" w:rsidRDefault="00000000">
      <w:pPr>
        <w:numPr>
          <w:ilvl w:val="0"/>
          <w:numId w:val="2"/>
        </w:numPr>
        <w:spacing w:after="0" w:line="261" w:lineRule="auto"/>
        <w:ind w:right="0" w:hanging="1160"/>
      </w:pPr>
      <w:r>
        <w:rPr>
          <w:b/>
          <w:sz w:val="20"/>
        </w:rPr>
        <w:t xml:space="preserve">PESSOAL. CORPO DE BOMBEIROS MILITAR DO DISTRITO FEDERAL - CBMDF. CONSULTA.  MILITAR. </w:t>
      </w:r>
    </w:p>
    <w:p w14:paraId="24F353A6" w14:textId="77777777" w:rsidR="00257A3E" w:rsidRDefault="00000000">
      <w:pPr>
        <w:spacing w:line="261" w:lineRule="auto"/>
        <w:ind w:left="668" w:right="0" w:hanging="660"/>
      </w:pPr>
      <w:r>
        <w:rPr>
          <w:b/>
          <w:sz w:val="20"/>
        </w:rPr>
        <w:t>GRATIFICAÇÃO DE REPRESENTAÇÃO INCORPORADA AOS PROVENTOS. ADVENTO DA LEI Nº 13.954 /2019. CONTRIBUIÇÃO PREVIDENCIÁRIA. CARÁTER TRIBUTÁRIO. DESCONTO RETROATIVO. NECESSIDADE.</w:t>
      </w:r>
    </w:p>
    <w:p w14:paraId="25DCDF33" w14:textId="77777777" w:rsidR="00257A3E" w:rsidRDefault="00000000">
      <w:pPr>
        <w:ind w:left="660" w:right="0"/>
      </w:pPr>
      <w:r>
        <w:t>Consulta formulada pelo Corpo de Bombeiros Militar do Distrito Federal - CBMDF acerca da gratificação de representação pelo exercício de função militar, prevista nas Leis nºs 186/1991 e 213/1991, incorporada aos proventos de militares inativos e pensionistas, em período anterior a 17.03.2020. O jurisdicionado questionou especificamente se aquela Administração militar deveria proceder à cobrança retroativa, ou seja, referente ao período anterior a 17.03.2020, da contribuição para pensão militar incidente sobre a gratificação de representação pelo exercício de função militar instituída à época pela Lei Distrital nº 186/91 e pela Lei Distrital nº 213/91, incorporada aos proventos do militar inativo. O Tribunal, diante da tese firmada pelo Superior Tribunal de Justiça - STJ no Tema Repetitivo n.ºs 531 e 1009, abrangidas pela Decisão TCDF n.º 4.818/2022, respondeu ao Consulente que a Administração Militar, incluída também a Polícia Militar do Distrito Federal - PMDF, deve proceder à cobrança retroativa da contribuição mencionada, referente ao período anterior a 17.03.2020, sem prejuízo de respeitar o prazo decadencial previsto nas normas de regência, com a necessária verificação do instituto, caso a caso, de forma individualizada.</w:t>
      </w:r>
    </w:p>
    <w:tbl>
      <w:tblPr>
        <w:tblStyle w:val="TableGrid"/>
        <w:tblW w:w="8141" w:type="dxa"/>
        <w:tblInd w:w="660" w:type="dxa"/>
        <w:tblCellMar>
          <w:top w:w="0" w:type="dxa"/>
          <w:left w:w="0" w:type="dxa"/>
          <w:bottom w:w="0" w:type="dxa"/>
          <w:right w:w="0" w:type="dxa"/>
        </w:tblCellMar>
        <w:tblLook w:val="04A0" w:firstRow="1" w:lastRow="0" w:firstColumn="1" w:lastColumn="0" w:noHBand="0" w:noVBand="1"/>
      </w:tblPr>
      <w:tblGrid>
        <w:gridCol w:w="4800"/>
        <w:gridCol w:w="3341"/>
      </w:tblGrid>
      <w:tr w:rsidR="00257A3E" w14:paraId="24D50AFA" w14:textId="77777777">
        <w:trPr>
          <w:trHeight w:val="593"/>
        </w:trPr>
        <w:tc>
          <w:tcPr>
            <w:tcW w:w="4800" w:type="dxa"/>
            <w:tcBorders>
              <w:top w:val="nil"/>
              <w:left w:val="nil"/>
              <w:bottom w:val="nil"/>
              <w:right w:val="nil"/>
            </w:tcBorders>
          </w:tcPr>
          <w:p w14:paraId="256B747B" w14:textId="77777777" w:rsidR="00257A3E" w:rsidRDefault="00000000">
            <w:pPr>
              <w:spacing w:after="52" w:line="259" w:lineRule="auto"/>
              <w:ind w:left="0" w:right="0" w:firstLine="0"/>
              <w:jc w:val="left"/>
            </w:pPr>
            <w:r>
              <w:rPr>
                <w:b/>
                <w:sz w:val="20"/>
              </w:rPr>
              <w:t>Relator:</w:t>
            </w:r>
          </w:p>
          <w:p w14:paraId="26605B11" w14:textId="77777777" w:rsidR="00257A3E" w:rsidRDefault="00000000">
            <w:pPr>
              <w:spacing w:after="0" w:line="259" w:lineRule="auto"/>
              <w:ind w:left="0" w:right="0" w:firstLine="0"/>
              <w:jc w:val="left"/>
            </w:pPr>
            <w:r>
              <w:rPr>
                <w:b/>
                <w:sz w:val="20"/>
              </w:rPr>
              <w:t>Inácio Magalhães Filho</w:t>
            </w:r>
          </w:p>
        </w:tc>
        <w:tc>
          <w:tcPr>
            <w:tcW w:w="3341" w:type="dxa"/>
            <w:tcBorders>
              <w:top w:val="nil"/>
              <w:left w:val="nil"/>
              <w:bottom w:val="nil"/>
              <w:right w:val="nil"/>
            </w:tcBorders>
          </w:tcPr>
          <w:p w14:paraId="5992607C" w14:textId="77777777" w:rsidR="00257A3E" w:rsidRDefault="00000000">
            <w:pPr>
              <w:spacing w:after="52" w:line="259" w:lineRule="auto"/>
              <w:ind w:left="0" w:right="0" w:firstLine="0"/>
              <w:jc w:val="left"/>
            </w:pPr>
            <w:r>
              <w:rPr>
                <w:b/>
                <w:sz w:val="20"/>
              </w:rPr>
              <w:t>Sessão:</w:t>
            </w:r>
          </w:p>
          <w:p w14:paraId="5F8C4F8F" w14:textId="77777777" w:rsidR="00257A3E" w:rsidRDefault="00000000">
            <w:pPr>
              <w:spacing w:after="0" w:line="259" w:lineRule="auto"/>
              <w:ind w:left="0" w:right="0" w:firstLine="0"/>
            </w:pPr>
            <w:r>
              <w:rPr>
                <w:b/>
                <w:sz w:val="20"/>
              </w:rPr>
              <w:t>ORDINÁRIA nº 5426, de 11/06/2025.</w:t>
            </w:r>
          </w:p>
        </w:tc>
      </w:tr>
      <w:tr w:rsidR="00257A3E" w14:paraId="67259D57" w14:textId="77777777">
        <w:trPr>
          <w:trHeight w:val="293"/>
        </w:trPr>
        <w:tc>
          <w:tcPr>
            <w:tcW w:w="4800" w:type="dxa"/>
            <w:tcBorders>
              <w:top w:val="nil"/>
              <w:left w:val="nil"/>
              <w:bottom w:val="nil"/>
              <w:right w:val="nil"/>
            </w:tcBorders>
            <w:vAlign w:val="bottom"/>
          </w:tcPr>
          <w:p w14:paraId="1C12CD1F" w14:textId="77777777" w:rsidR="00257A3E" w:rsidRDefault="00000000">
            <w:pPr>
              <w:spacing w:after="0" w:line="259" w:lineRule="auto"/>
              <w:ind w:left="0" w:right="0" w:firstLine="0"/>
              <w:jc w:val="left"/>
            </w:pPr>
            <w:r>
              <w:rPr>
                <w:b/>
                <w:sz w:val="20"/>
              </w:rPr>
              <w:t>Decisão por unanimidade</w:t>
            </w:r>
          </w:p>
        </w:tc>
        <w:tc>
          <w:tcPr>
            <w:tcW w:w="3341" w:type="dxa"/>
            <w:tcBorders>
              <w:top w:val="nil"/>
              <w:left w:val="nil"/>
              <w:bottom w:val="nil"/>
              <w:right w:val="nil"/>
            </w:tcBorders>
            <w:vAlign w:val="bottom"/>
          </w:tcPr>
          <w:p w14:paraId="1853EFDD" w14:textId="77777777" w:rsidR="00257A3E" w:rsidRDefault="00000000">
            <w:pPr>
              <w:spacing w:after="0" w:line="259" w:lineRule="auto"/>
              <w:ind w:left="0" w:right="0" w:firstLine="0"/>
            </w:pPr>
            <w:r>
              <w:rPr>
                <w:color w:val="2205FC"/>
                <w:sz w:val="20"/>
                <w:u w:val="single" w:color="2205FC"/>
              </w:rPr>
              <w:t>Proc. nº 18/2023 - Dec. nº 2123/2025</w:t>
            </w:r>
          </w:p>
        </w:tc>
      </w:tr>
    </w:tbl>
    <w:p w14:paraId="29120B51" w14:textId="77777777" w:rsidR="00257A3E" w:rsidRDefault="00000000">
      <w:pPr>
        <w:spacing w:after="155" w:line="261" w:lineRule="auto"/>
        <w:ind w:left="670" w:right="0" w:hanging="10"/>
      </w:pPr>
      <w:r>
        <w:rPr>
          <w:b/>
          <w:sz w:val="20"/>
        </w:rPr>
        <w:t>Precedentes externos:</w:t>
      </w:r>
    </w:p>
    <w:p w14:paraId="3448EDCE" w14:textId="77777777" w:rsidR="00257A3E" w:rsidRDefault="00000000">
      <w:pPr>
        <w:spacing w:after="60" w:line="417" w:lineRule="auto"/>
        <w:ind w:left="670" w:right="6142" w:hanging="10"/>
        <w:jc w:val="left"/>
      </w:pPr>
      <w:r>
        <w:rPr>
          <w:color w:val="2205FC"/>
          <w:sz w:val="20"/>
          <w:u w:val="single" w:color="2205FC"/>
        </w:rPr>
        <w:t>Decisão STJ nº Tema Repetitivo nº 531 Decisão STJ nº Tema Repetitivo nº1009</w:t>
      </w:r>
    </w:p>
    <w:p w14:paraId="6CD7C755" w14:textId="77777777" w:rsidR="00257A3E" w:rsidRDefault="00000000">
      <w:pPr>
        <w:spacing w:after="155" w:line="261" w:lineRule="auto"/>
        <w:ind w:left="670" w:right="0" w:hanging="10"/>
      </w:pPr>
      <w:r>
        <w:rPr>
          <w:b/>
          <w:sz w:val="20"/>
        </w:rPr>
        <w:t>Legislação relacionada:</w:t>
      </w:r>
    </w:p>
    <w:p w14:paraId="2D06FD5E" w14:textId="77777777" w:rsidR="00257A3E" w:rsidRDefault="00000000">
      <w:pPr>
        <w:spacing w:after="167" w:line="259" w:lineRule="auto"/>
        <w:ind w:left="670" w:right="0" w:hanging="10"/>
        <w:jc w:val="left"/>
      </w:pPr>
      <w:r>
        <w:rPr>
          <w:color w:val="2205FC"/>
          <w:sz w:val="20"/>
          <w:u w:val="single" w:color="2205FC"/>
        </w:rPr>
        <w:t>Lei nº 13954/2019</w:t>
      </w:r>
    </w:p>
    <w:p w14:paraId="0032D1CC" w14:textId="77777777" w:rsidR="00257A3E" w:rsidRDefault="00000000">
      <w:pPr>
        <w:spacing w:after="167" w:line="259" w:lineRule="auto"/>
        <w:ind w:left="670" w:right="0" w:hanging="10"/>
        <w:jc w:val="left"/>
      </w:pPr>
      <w:r>
        <w:rPr>
          <w:color w:val="2205FC"/>
          <w:sz w:val="20"/>
          <w:u w:val="single" w:color="2205FC"/>
        </w:rPr>
        <w:t>Constituição Federal de 1988, Art. 150, § 6º.</w:t>
      </w:r>
    </w:p>
    <w:p w14:paraId="38A74000" w14:textId="77777777" w:rsidR="00257A3E" w:rsidRDefault="00257A3E">
      <w:pPr>
        <w:sectPr w:rsidR="00257A3E">
          <w:type w:val="continuous"/>
          <w:pgSz w:w="11900" w:h="16840"/>
          <w:pgMar w:top="1440" w:right="322" w:bottom="1440" w:left="540" w:header="720" w:footer="720" w:gutter="0"/>
          <w:cols w:space="720"/>
        </w:sectPr>
      </w:pPr>
    </w:p>
    <w:p w14:paraId="034EFF05" w14:textId="77777777" w:rsidR="00257A3E" w:rsidRDefault="00000000">
      <w:pPr>
        <w:tabs>
          <w:tab w:val="right" w:pos="11113"/>
        </w:tabs>
        <w:spacing w:after="0" w:line="261" w:lineRule="auto"/>
        <w:ind w:left="0" w:right="0" w:firstLine="0"/>
        <w:jc w:val="left"/>
      </w:pPr>
      <w:r>
        <w:rPr>
          <w:rFonts w:ascii="Calibri" w:eastAsia="Calibri" w:hAnsi="Calibri" w:cs="Calibri"/>
          <w:color w:val="389EB8"/>
          <w:sz w:val="36"/>
        </w:rPr>
        <w:lastRenderedPageBreak/>
        <w:t>12</w:t>
      </w:r>
      <w:r>
        <w:rPr>
          <w:rFonts w:ascii="Calibri" w:eastAsia="Calibri" w:hAnsi="Calibri" w:cs="Calibri"/>
          <w:color w:val="389EB8"/>
          <w:sz w:val="36"/>
        </w:rPr>
        <w:tab/>
      </w:r>
      <w:r>
        <w:rPr>
          <w:b/>
          <w:sz w:val="20"/>
        </w:rPr>
        <w:t>PROCESSUAL. CONTAS. TOMADA DE CONTAS ESPECIAL - TCE. DESIGNAÇÃO DE NOVA COMISSÃO</w:t>
      </w:r>
    </w:p>
    <w:p w14:paraId="089A1B77" w14:textId="77777777" w:rsidR="00257A3E" w:rsidRDefault="00000000">
      <w:pPr>
        <w:spacing w:after="2" w:line="261" w:lineRule="auto"/>
        <w:ind w:left="18" w:right="0" w:hanging="10"/>
      </w:pPr>
      <w:r>
        <w:rPr>
          <w:b/>
          <w:sz w:val="20"/>
        </w:rPr>
        <w:t>TOMADORA DE CONTAS ESPECIAL - CTCE. INSTRUÇÃO PROCESSUAL. FALHA. ERRO DA</w:t>
      </w:r>
    </w:p>
    <w:p w14:paraId="1B1C6400" w14:textId="77777777" w:rsidR="00257A3E" w:rsidRDefault="00000000">
      <w:pPr>
        <w:spacing w:after="0" w:line="261" w:lineRule="auto"/>
        <w:ind w:left="670" w:right="0" w:hanging="10"/>
      </w:pPr>
      <w:r>
        <w:rPr>
          <w:b/>
          <w:sz w:val="20"/>
        </w:rPr>
        <w:t>ADMINISTRAÇÃO. CAUSA INTERRUPTIVA. AUSÊNCIA. PRESCRIÇÃO QUINQUENAL. OCORRÊNCIA.</w:t>
      </w:r>
    </w:p>
    <w:p w14:paraId="2B350E36" w14:textId="77777777" w:rsidR="00257A3E" w:rsidRDefault="00000000">
      <w:pPr>
        <w:spacing w:after="58"/>
        <w:ind w:left="660" w:right="83"/>
      </w:pPr>
      <w:r>
        <w:t>Tratou-se de tomada de contas especial - TCE instaurada para apuração de responsabilidade pelo possível prejuízo causado ao erário distrital decorrente de irregularidades na execução de contrato. Em fase anterior, o Tribunal aprovou a Decisão nº 3020/2023, mediante a qual se reconheceu a não ocorrência da prescrição quinquenal. Naquela oportunidade admitiu-se como causa interruptiva da prescrição a publicação de Ordem de Serviço designando nova Comissão Tomadora de Contas Especiais - CTCE. Nesta fase, julgou-se requerimento peticionado por empresa pugnando pela aplicação da prescrição nas presentes contas. O Desembargador Revisor argumentou que o art. 2º, § 1º, da Decisão Normativa TCDF n.º 5/2021 estabelece que a prescrição pode interromper-se mais de uma vez por causas distintas ou por uma mesma causa no curso do processo. Contudo, a norma estabelece que tal hipótese só é admitida quando, “por sua natureza, essa causa seja repetível”. Isso porque é natural em um mesmo processo de contas que ocorra mais de um ato inequívoco que importe apuração do fato, ou mais de uma notificação ou citação, ou mesmo mais de uma decisão condenatória recorrível. E, em todos esses eventos, previstos no art. 2º da referida decisão normativa, haverá a interrupção do lustro prescricional. Contudo, não é razoável admitir como inerente à natureza do curso processual em sede de tomada de contas a designação de mais de uma comissão tomadora. Dizer que “por sua natureza, essa causa seja repetível” é diferente de chancelar, para fins de interrupção da prescrição, a repetição de atos administrativos por mera conveniência, por erro da Administração ou mesmo por necessidade operacional não imputável ao responsável. Não pode o responsável ver renovada a pretensão do Tribunal em sancioná-lo ou em condená-lo em débito toda vez que a Corte ou o Controle Interno precisarem corrigir falhas constatadas nos procedimentos apuratórios. Caso contrário, ver-se-ia fulminada a segurança jurídica, da qual a prescrição é instituto corolário. Assim, o Tribunal, por maioria, acolhendo o voto do 1º Revisor reconheceu a incidência da prescrição quinquenal, em relação às pretensões punitivas e de ressarcimento de possível prejuízo ao erário no âmbito da TCE.</w:t>
      </w:r>
    </w:p>
    <w:tbl>
      <w:tblPr>
        <w:tblStyle w:val="TableGrid"/>
        <w:tblW w:w="8448" w:type="dxa"/>
        <w:tblInd w:w="660" w:type="dxa"/>
        <w:tblCellMar>
          <w:top w:w="0" w:type="dxa"/>
          <w:left w:w="0" w:type="dxa"/>
          <w:bottom w:w="0" w:type="dxa"/>
          <w:right w:w="0" w:type="dxa"/>
        </w:tblCellMar>
        <w:tblLook w:val="04A0" w:firstRow="1" w:lastRow="0" w:firstColumn="1" w:lastColumn="0" w:noHBand="0" w:noVBand="1"/>
      </w:tblPr>
      <w:tblGrid>
        <w:gridCol w:w="4800"/>
        <w:gridCol w:w="3648"/>
      </w:tblGrid>
      <w:tr w:rsidR="00257A3E" w14:paraId="0BF8A8F4" w14:textId="77777777">
        <w:trPr>
          <w:trHeight w:val="885"/>
        </w:trPr>
        <w:tc>
          <w:tcPr>
            <w:tcW w:w="4800" w:type="dxa"/>
            <w:tcBorders>
              <w:top w:val="nil"/>
              <w:left w:val="nil"/>
              <w:bottom w:val="nil"/>
              <w:right w:val="nil"/>
            </w:tcBorders>
          </w:tcPr>
          <w:p w14:paraId="2D6EFD61" w14:textId="77777777" w:rsidR="00257A3E" w:rsidRDefault="00000000">
            <w:pPr>
              <w:spacing w:after="52" w:line="259" w:lineRule="auto"/>
              <w:ind w:left="0" w:right="0" w:firstLine="0"/>
              <w:jc w:val="left"/>
            </w:pPr>
            <w:r>
              <w:rPr>
                <w:b/>
                <w:sz w:val="20"/>
              </w:rPr>
              <w:t>Relator:</w:t>
            </w:r>
          </w:p>
          <w:p w14:paraId="15FB4693" w14:textId="77777777" w:rsidR="00257A3E" w:rsidRDefault="00000000">
            <w:pPr>
              <w:spacing w:after="152" w:line="259" w:lineRule="auto"/>
              <w:ind w:left="0" w:right="0" w:firstLine="0"/>
              <w:jc w:val="left"/>
            </w:pPr>
            <w:r>
              <w:rPr>
                <w:b/>
                <w:sz w:val="20"/>
              </w:rPr>
              <w:t>Inácio Magalhães Filho</w:t>
            </w:r>
          </w:p>
          <w:p w14:paraId="63CF2671" w14:textId="77777777" w:rsidR="00257A3E" w:rsidRDefault="00000000">
            <w:pPr>
              <w:spacing w:after="0" w:line="259" w:lineRule="auto"/>
              <w:ind w:left="0" w:right="0" w:firstLine="0"/>
              <w:jc w:val="left"/>
            </w:pPr>
            <w:r>
              <w:rPr>
                <w:b/>
                <w:sz w:val="20"/>
              </w:rPr>
              <w:t>Decisão por maioria</w:t>
            </w:r>
          </w:p>
        </w:tc>
        <w:tc>
          <w:tcPr>
            <w:tcW w:w="3648" w:type="dxa"/>
            <w:tcBorders>
              <w:top w:val="nil"/>
              <w:left w:val="nil"/>
              <w:bottom w:val="nil"/>
              <w:right w:val="nil"/>
            </w:tcBorders>
          </w:tcPr>
          <w:p w14:paraId="1D02A59E" w14:textId="77777777" w:rsidR="00257A3E" w:rsidRDefault="00000000">
            <w:pPr>
              <w:spacing w:after="52" w:line="259" w:lineRule="auto"/>
              <w:ind w:left="0" w:right="0" w:firstLine="0"/>
              <w:jc w:val="left"/>
            </w:pPr>
            <w:r>
              <w:rPr>
                <w:b/>
                <w:sz w:val="20"/>
              </w:rPr>
              <w:t>Sessão:</w:t>
            </w:r>
          </w:p>
          <w:p w14:paraId="0998510E" w14:textId="77777777" w:rsidR="00257A3E" w:rsidRDefault="00000000">
            <w:pPr>
              <w:spacing w:after="152" w:line="259" w:lineRule="auto"/>
              <w:ind w:left="0" w:right="0" w:firstLine="0"/>
              <w:jc w:val="left"/>
            </w:pPr>
            <w:r>
              <w:rPr>
                <w:b/>
                <w:sz w:val="20"/>
              </w:rPr>
              <w:t>ORDINÁRIA nº 5421, de 07/05/2025.</w:t>
            </w:r>
          </w:p>
          <w:p w14:paraId="336A3178" w14:textId="77777777" w:rsidR="00257A3E" w:rsidRDefault="00000000">
            <w:pPr>
              <w:spacing w:after="0" w:line="259" w:lineRule="auto"/>
              <w:ind w:left="0" w:right="0" w:firstLine="0"/>
            </w:pPr>
            <w:r>
              <w:rPr>
                <w:color w:val="2205FC"/>
                <w:sz w:val="20"/>
                <w:u w:val="single" w:color="2205FC"/>
              </w:rPr>
              <w:t>Proc. nº 10495/2012 - Dec. nº 1617/2025</w:t>
            </w:r>
          </w:p>
        </w:tc>
      </w:tr>
    </w:tbl>
    <w:p w14:paraId="5D7662BE" w14:textId="77777777" w:rsidR="00257A3E" w:rsidRDefault="00000000">
      <w:pPr>
        <w:spacing w:after="100" w:line="417" w:lineRule="auto"/>
        <w:ind w:left="650" w:right="7661" w:hanging="10"/>
        <w:jc w:val="left"/>
      </w:pPr>
      <w:r>
        <w:rPr>
          <w:b/>
          <w:sz w:val="20"/>
        </w:rPr>
        <w:t xml:space="preserve">Decisões relacionadas: </w:t>
      </w:r>
      <w:r>
        <w:rPr>
          <w:color w:val="2205FC"/>
          <w:sz w:val="20"/>
          <w:u w:val="single" w:color="2205FC"/>
        </w:rPr>
        <w:t>TCDF: Decisão nº 3023/2023</w:t>
      </w:r>
    </w:p>
    <w:p w14:paraId="21B70584" w14:textId="77777777" w:rsidR="00257A3E" w:rsidRDefault="00000000">
      <w:pPr>
        <w:spacing w:after="155" w:line="261" w:lineRule="auto"/>
        <w:ind w:left="670" w:right="0" w:hanging="10"/>
      </w:pPr>
      <w:r>
        <w:rPr>
          <w:b/>
          <w:sz w:val="20"/>
        </w:rPr>
        <w:t>Legislação relacionada:</w:t>
      </w:r>
    </w:p>
    <w:p w14:paraId="055B616A" w14:textId="77777777" w:rsidR="00257A3E" w:rsidRDefault="00000000">
      <w:pPr>
        <w:spacing w:after="167" w:line="259" w:lineRule="auto"/>
        <w:ind w:left="670" w:right="0" w:hanging="10"/>
        <w:jc w:val="left"/>
      </w:pPr>
      <w:r>
        <w:rPr>
          <w:color w:val="2205FC"/>
          <w:sz w:val="20"/>
          <w:u w:val="single" w:color="2205FC"/>
        </w:rPr>
        <w:t>Decisão normativa TCDF nº 5/2021, Art.</w:t>
      </w:r>
      <w:r>
        <w:rPr>
          <w:color w:val="2205FC"/>
          <w:sz w:val="20"/>
        </w:rPr>
        <w:t xml:space="preserve"> </w:t>
      </w:r>
    </w:p>
    <w:p w14:paraId="1DB4C56D" w14:textId="77777777" w:rsidR="00257A3E" w:rsidRDefault="00000000">
      <w:pPr>
        <w:spacing w:after="167" w:line="259" w:lineRule="auto"/>
        <w:ind w:left="670" w:right="0" w:hanging="10"/>
        <w:jc w:val="left"/>
      </w:pPr>
      <w:r>
        <w:rPr>
          <w:color w:val="2205FC"/>
          <w:sz w:val="20"/>
          <w:u w:val="single" w:color="2205FC"/>
        </w:rPr>
        <w:lastRenderedPageBreak/>
        <w:t>2º, § 1º.</w:t>
      </w:r>
    </w:p>
    <w:p w14:paraId="3B0696A1" w14:textId="77777777" w:rsidR="00257A3E" w:rsidRDefault="00000000">
      <w:pPr>
        <w:spacing w:after="0" w:line="435" w:lineRule="auto"/>
        <w:ind w:left="18" w:right="0" w:hanging="10"/>
      </w:pPr>
      <w:r>
        <w:rPr>
          <w:rFonts w:ascii="Calibri" w:eastAsia="Calibri" w:hAnsi="Calibri" w:cs="Calibri"/>
          <w:color w:val="389EB8"/>
          <w:sz w:val="36"/>
        </w:rPr>
        <w:t>13</w:t>
      </w:r>
      <w:r>
        <w:rPr>
          <w:rFonts w:ascii="Calibri" w:eastAsia="Calibri" w:hAnsi="Calibri" w:cs="Calibri"/>
          <w:color w:val="389EB8"/>
          <w:sz w:val="36"/>
        </w:rPr>
        <w:tab/>
      </w:r>
      <w:r>
        <w:rPr>
          <w:b/>
          <w:sz w:val="20"/>
        </w:rPr>
        <w:t>CONTAS. TOMADA DE CONTAS ESPECIAL. SECRETARIA DE ESPORTE E LAZER DO DISTRITO FEDERAL. SEL/DF. PRESCRIÇÃO. INCIDÊNCIA. ARQUIVAMENTO.</w:t>
      </w:r>
    </w:p>
    <w:p w14:paraId="06CD6287" w14:textId="77777777" w:rsidR="00257A3E" w:rsidRDefault="00000000">
      <w:pPr>
        <w:numPr>
          <w:ilvl w:val="0"/>
          <w:numId w:val="3"/>
        </w:numPr>
        <w:spacing w:after="227"/>
        <w:ind w:right="0"/>
      </w:pPr>
      <w:r>
        <w:t xml:space="preserve">A Tomada de Contas Especial não se qualifica como instrumento jurídico adequado para a constituição de crédito não tributário decorrente de inadimplemento de receita pública, notadamente se aludido crédito estiver fulminado pela prescrição da pretensão arrecadatória, em apreço aos princípios da segurança jurídica e da isonomia. </w:t>
      </w:r>
    </w:p>
    <w:p w14:paraId="104985D3" w14:textId="77777777" w:rsidR="00257A3E" w:rsidRDefault="00000000">
      <w:pPr>
        <w:numPr>
          <w:ilvl w:val="0"/>
          <w:numId w:val="3"/>
        </w:numPr>
        <w:ind w:right="0"/>
      </w:pPr>
      <w:r>
        <w:t xml:space="preserve">O inadimplemento de crédito não tributário decorrente da autorização de uso de bem público submete-se ao prazo prescricional previsto no Decreto nº 20.910/1932, não lhe sendo aplicável o regime da Decisão Normativa nº 5/2021- </w:t>
      </w:r>
    </w:p>
    <w:p w14:paraId="6F9FACA4" w14:textId="77777777" w:rsidR="00257A3E" w:rsidRDefault="00257A3E">
      <w:pPr>
        <w:sectPr w:rsidR="00257A3E">
          <w:headerReference w:type="even" r:id="rId32"/>
          <w:headerReference w:type="default" r:id="rId33"/>
          <w:footerReference w:type="even" r:id="rId34"/>
          <w:footerReference w:type="default" r:id="rId35"/>
          <w:headerReference w:type="first" r:id="rId36"/>
          <w:footerReference w:type="first" r:id="rId37"/>
          <w:pgSz w:w="11900" w:h="16840"/>
          <w:pgMar w:top="1003" w:right="247" w:bottom="7351" w:left="540" w:header="297" w:footer="54" w:gutter="0"/>
          <w:cols w:space="720"/>
          <w:titlePg/>
        </w:sectPr>
      </w:pPr>
    </w:p>
    <w:p w14:paraId="5BAF0A3C" w14:textId="77777777" w:rsidR="00257A3E" w:rsidRDefault="00000000">
      <w:pPr>
        <w:spacing w:after="247"/>
        <w:ind w:left="0" w:right="0" w:firstLine="0"/>
      </w:pPr>
      <w:r>
        <w:t>TCDF.</w:t>
      </w:r>
    </w:p>
    <w:p w14:paraId="652886F9" w14:textId="77777777" w:rsidR="00257A3E" w:rsidRDefault="00000000">
      <w:pPr>
        <w:spacing w:after="50" w:line="261" w:lineRule="auto"/>
        <w:ind w:left="18" w:right="0" w:hanging="10"/>
      </w:pPr>
      <w:r>
        <w:rPr>
          <w:b/>
          <w:sz w:val="20"/>
        </w:rPr>
        <w:t>Relator:</w:t>
      </w:r>
    </w:p>
    <w:p w14:paraId="5ECEDCDD" w14:textId="77777777" w:rsidR="00257A3E" w:rsidRDefault="00000000">
      <w:pPr>
        <w:spacing w:after="155" w:line="261" w:lineRule="auto"/>
        <w:ind w:left="18" w:right="0" w:hanging="10"/>
      </w:pPr>
      <w:r>
        <w:rPr>
          <w:b/>
          <w:sz w:val="20"/>
        </w:rPr>
        <w:t>Vinícius Cardoso De Pinho Fragoso</w:t>
      </w:r>
    </w:p>
    <w:p w14:paraId="40FC0565" w14:textId="77777777" w:rsidR="00257A3E" w:rsidRDefault="00000000">
      <w:pPr>
        <w:spacing w:after="410" w:line="261" w:lineRule="auto"/>
        <w:ind w:left="18" w:right="0" w:hanging="10"/>
      </w:pPr>
      <w:r>
        <w:rPr>
          <w:b/>
          <w:sz w:val="20"/>
        </w:rPr>
        <w:t>Decisão por unanimidade</w:t>
      </w:r>
    </w:p>
    <w:p w14:paraId="1F67B7E1" w14:textId="77777777" w:rsidR="00257A3E" w:rsidRDefault="00000000">
      <w:pPr>
        <w:spacing w:after="155" w:line="261" w:lineRule="auto"/>
        <w:ind w:left="18" w:right="0" w:hanging="10"/>
      </w:pPr>
      <w:r>
        <w:rPr>
          <w:b/>
          <w:sz w:val="20"/>
        </w:rPr>
        <w:t>Precedentes externos:</w:t>
      </w:r>
    </w:p>
    <w:p w14:paraId="6905F173" w14:textId="77777777" w:rsidR="00257A3E" w:rsidRDefault="00000000">
      <w:pPr>
        <w:spacing w:after="167" w:line="259" w:lineRule="auto"/>
        <w:ind w:left="18" w:right="0" w:hanging="10"/>
        <w:jc w:val="left"/>
      </w:pPr>
      <w:r>
        <w:rPr>
          <w:color w:val="2205FC"/>
          <w:sz w:val="20"/>
          <w:u w:val="single" w:color="2205FC"/>
        </w:rPr>
        <w:t>Decisão STJ nº REsp 1105442 / RJ</w:t>
      </w:r>
    </w:p>
    <w:p w14:paraId="240CCA41" w14:textId="77777777" w:rsidR="00257A3E" w:rsidRDefault="00000000">
      <w:pPr>
        <w:spacing w:after="60" w:line="417" w:lineRule="auto"/>
        <w:ind w:left="18" w:right="0" w:hanging="10"/>
        <w:jc w:val="left"/>
      </w:pPr>
      <w:r>
        <w:rPr>
          <w:color w:val="2205FC"/>
          <w:sz w:val="20"/>
          <w:u w:val="single" w:color="2205FC"/>
        </w:rPr>
        <w:t>Decisão STJ nº REsp 1597695 / CE Decisão STJ nº AgRg no AREsp 768400 / DF</w:t>
      </w:r>
    </w:p>
    <w:p w14:paraId="19B7F4A9" w14:textId="77777777" w:rsidR="00257A3E" w:rsidRDefault="00000000">
      <w:pPr>
        <w:spacing w:after="155" w:line="261" w:lineRule="auto"/>
        <w:ind w:left="18" w:right="0" w:hanging="10"/>
      </w:pPr>
      <w:r>
        <w:rPr>
          <w:b/>
          <w:sz w:val="20"/>
        </w:rPr>
        <w:t>Legislação relacionada:</w:t>
      </w:r>
    </w:p>
    <w:p w14:paraId="4131B117" w14:textId="77777777" w:rsidR="00257A3E" w:rsidRDefault="00000000">
      <w:pPr>
        <w:spacing w:after="167" w:line="259" w:lineRule="auto"/>
        <w:ind w:left="18" w:right="0" w:hanging="10"/>
        <w:jc w:val="left"/>
      </w:pPr>
      <w:r>
        <w:rPr>
          <w:color w:val="2205FC"/>
          <w:sz w:val="20"/>
          <w:u w:val="single" w:color="2205FC"/>
        </w:rPr>
        <w:t>Decreto nº 20910/1932</w:t>
      </w:r>
    </w:p>
    <w:p w14:paraId="2A6393F3" w14:textId="77777777" w:rsidR="00257A3E" w:rsidRDefault="00000000">
      <w:pPr>
        <w:spacing w:after="0" w:line="438" w:lineRule="auto"/>
        <w:ind w:left="18" w:right="1212" w:hanging="10"/>
        <w:jc w:val="left"/>
      </w:pPr>
      <w:r>
        <w:rPr>
          <w:color w:val="2205FC"/>
          <w:sz w:val="20"/>
          <w:u w:val="single" w:color="2205FC"/>
        </w:rPr>
        <w:t>Decisão normativa nº 5/2021 Lei nº 4320/1964, Art. 52.</w:t>
      </w:r>
    </w:p>
    <w:p w14:paraId="492FADE3" w14:textId="77777777" w:rsidR="00257A3E" w:rsidRDefault="00000000">
      <w:pPr>
        <w:spacing w:after="167" w:line="259" w:lineRule="auto"/>
        <w:ind w:left="18" w:right="0" w:hanging="10"/>
        <w:jc w:val="left"/>
      </w:pPr>
      <w:r>
        <w:rPr>
          <w:color w:val="2205FC"/>
          <w:sz w:val="20"/>
          <w:u w:val="single" w:color="2205FC"/>
        </w:rPr>
        <w:t>Lei nº 4320/1964, Art. 53.</w:t>
      </w:r>
    </w:p>
    <w:p w14:paraId="452ECAC9" w14:textId="77777777" w:rsidR="00257A3E" w:rsidRDefault="00000000">
      <w:pPr>
        <w:spacing w:after="167" w:line="259" w:lineRule="auto"/>
        <w:ind w:left="18" w:right="0" w:hanging="10"/>
        <w:jc w:val="left"/>
      </w:pPr>
      <w:r>
        <w:rPr>
          <w:color w:val="2205FC"/>
          <w:sz w:val="20"/>
          <w:u w:val="single" w:color="2205FC"/>
        </w:rPr>
        <w:t>Decreto nº 34561/2013</w:t>
      </w:r>
    </w:p>
    <w:p w14:paraId="2F265B62" w14:textId="77777777" w:rsidR="00257A3E" w:rsidRDefault="00000000">
      <w:pPr>
        <w:spacing w:after="167" w:line="259" w:lineRule="auto"/>
        <w:ind w:left="18" w:right="0" w:hanging="10"/>
        <w:jc w:val="left"/>
      </w:pPr>
      <w:r>
        <w:rPr>
          <w:color w:val="2205FC"/>
          <w:sz w:val="20"/>
          <w:u w:val="single" w:color="2205FC"/>
        </w:rPr>
        <w:t>Lei nº 4320/1964</w:t>
      </w:r>
    </w:p>
    <w:p w14:paraId="6D8C9AB0" w14:textId="77777777" w:rsidR="00257A3E" w:rsidRDefault="00000000">
      <w:pPr>
        <w:spacing w:after="167" w:line="259" w:lineRule="auto"/>
        <w:ind w:left="18" w:right="0" w:hanging="10"/>
        <w:jc w:val="left"/>
      </w:pPr>
      <w:r>
        <w:rPr>
          <w:color w:val="2205FC"/>
          <w:sz w:val="20"/>
          <w:u w:val="single" w:color="2205FC"/>
        </w:rPr>
        <w:t>Lei nº 5172/1966</w:t>
      </w:r>
    </w:p>
    <w:p w14:paraId="461734D8" w14:textId="77777777" w:rsidR="00257A3E" w:rsidRDefault="00000000">
      <w:pPr>
        <w:spacing w:after="167" w:line="259" w:lineRule="auto"/>
        <w:ind w:left="18" w:right="0" w:hanging="10"/>
        <w:jc w:val="left"/>
      </w:pPr>
      <w:r>
        <w:rPr>
          <w:color w:val="2205FC"/>
          <w:sz w:val="20"/>
          <w:u w:val="single" w:color="2205FC"/>
        </w:rPr>
        <w:t>Lei nº 6830/1980</w:t>
      </w:r>
    </w:p>
    <w:p w14:paraId="03531352" w14:textId="77777777" w:rsidR="00257A3E" w:rsidRDefault="00000000">
      <w:pPr>
        <w:spacing w:after="167" w:line="259" w:lineRule="auto"/>
        <w:ind w:left="18" w:right="0" w:hanging="10"/>
        <w:jc w:val="left"/>
      </w:pPr>
      <w:r>
        <w:rPr>
          <w:color w:val="2205FC"/>
          <w:sz w:val="20"/>
          <w:u w:val="single" w:color="2205FC"/>
        </w:rPr>
        <w:t>Lei nº 4320/1964, Art. 39, § 1º.</w:t>
      </w:r>
    </w:p>
    <w:p w14:paraId="2518E3E4" w14:textId="77777777" w:rsidR="00257A3E" w:rsidRDefault="00000000">
      <w:pPr>
        <w:spacing w:after="167" w:line="259" w:lineRule="auto"/>
        <w:ind w:left="18" w:right="0" w:hanging="10"/>
        <w:jc w:val="left"/>
      </w:pPr>
      <w:r>
        <w:rPr>
          <w:color w:val="2205FC"/>
          <w:sz w:val="20"/>
          <w:u w:val="single" w:color="2205FC"/>
        </w:rPr>
        <w:t>Lei nº 4320/1964, Art. 39, § 2º.</w:t>
      </w:r>
    </w:p>
    <w:p w14:paraId="46EB7706" w14:textId="77777777" w:rsidR="00257A3E" w:rsidRDefault="00000000">
      <w:pPr>
        <w:spacing w:after="50" w:line="261" w:lineRule="auto"/>
        <w:ind w:left="18" w:right="0" w:hanging="10"/>
      </w:pPr>
      <w:r>
        <w:rPr>
          <w:b/>
          <w:sz w:val="20"/>
        </w:rPr>
        <w:t>Sessão:</w:t>
      </w:r>
    </w:p>
    <w:p w14:paraId="5241FFD0" w14:textId="77777777" w:rsidR="00257A3E" w:rsidRDefault="00000000">
      <w:pPr>
        <w:spacing w:after="155" w:line="261" w:lineRule="auto"/>
        <w:ind w:left="18" w:right="0" w:hanging="10"/>
      </w:pPr>
      <w:r>
        <w:rPr>
          <w:b/>
          <w:sz w:val="20"/>
        </w:rPr>
        <w:t>ORDINÁRIA nº 5425, de 04/06/2025.</w:t>
      </w:r>
    </w:p>
    <w:p w14:paraId="48FFB836" w14:textId="77777777" w:rsidR="00257A3E" w:rsidRDefault="00000000">
      <w:pPr>
        <w:spacing w:after="167" w:line="259" w:lineRule="auto"/>
        <w:ind w:left="18" w:right="0" w:hanging="10"/>
        <w:jc w:val="left"/>
      </w:pPr>
      <w:r>
        <w:rPr>
          <w:color w:val="2205FC"/>
          <w:sz w:val="20"/>
          <w:u w:val="single" w:color="2205FC"/>
        </w:rPr>
        <w:t>Proc. nº 5956/2024 - Dec. nº 2044/2025</w:t>
      </w:r>
      <w:r>
        <w:br w:type="page"/>
      </w:r>
    </w:p>
    <w:tbl>
      <w:tblPr>
        <w:tblStyle w:val="TableGrid"/>
        <w:tblpPr w:vertAnchor="text" w:horzAnchor="margin"/>
        <w:tblOverlap w:val="never"/>
        <w:tblW w:w="8337" w:type="dxa"/>
        <w:tblInd w:w="0" w:type="dxa"/>
        <w:tblCellMar>
          <w:top w:w="27" w:type="dxa"/>
          <w:left w:w="0" w:type="dxa"/>
          <w:bottom w:w="0" w:type="dxa"/>
          <w:right w:w="0" w:type="dxa"/>
        </w:tblCellMar>
        <w:tblLook w:val="04A0" w:firstRow="1" w:lastRow="0" w:firstColumn="1" w:lastColumn="0" w:noHBand="0" w:noVBand="1"/>
      </w:tblPr>
      <w:tblGrid>
        <w:gridCol w:w="8337"/>
      </w:tblGrid>
      <w:tr w:rsidR="00257A3E" w14:paraId="7B04857D" w14:textId="77777777">
        <w:trPr>
          <w:trHeight w:val="2195"/>
        </w:trPr>
        <w:tc>
          <w:tcPr>
            <w:tcW w:w="11093" w:type="dxa"/>
            <w:tcBorders>
              <w:top w:val="nil"/>
              <w:left w:val="nil"/>
              <w:bottom w:val="nil"/>
              <w:right w:val="nil"/>
            </w:tcBorders>
          </w:tcPr>
          <w:p w14:paraId="154ACDCE" w14:textId="77777777" w:rsidR="00257A3E" w:rsidRDefault="00000000">
            <w:pPr>
              <w:tabs>
                <w:tab w:val="right" w:pos="10299"/>
              </w:tabs>
              <w:spacing w:after="0" w:line="259" w:lineRule="auto"/>
              <w:ind w:left="-660" w:right="-1962" w:firstLine="0"/>
              <w:jc w:val="left"/>
            </w:pPr>
            <w:r>
              <w:rPr>
                <w:rFonts w:ascii="Calibri" w:eastAsia="Calibri" w:hAnsi="Calibri" w:cs="Calibri"/>
                <w:color w:val="389EB8"/>
                <w:sz w:val="36"/>
              </w:rPr>
              <w:lastRenderedPageBreak/>
              <w:t>14</w:t>
            </w:r>
            <w:r>
              <w:rPr>
                <w:rFonts w:ascii="Calibri" w:eastAsia="Calibri" w:hAnsi="Calibri" w:cs="Calibri"/>
                <w:color w:val="389EB8"/>
                <w:sz w:val="36"/>
              </w:rPr>
              <w:tab/>
            </w:r>
            <w:r>
              <w:rPr>
                <w:b/>
                <w:sz w:val="20"/>
              </w:rPr>
              <w:t>PARCERIA. SECRETARIA DE ESTADO DE DESENVOLVIMENTO SOCIAL DO DISTRITO FEDERAL-</w:t>
            </w:r>
          </w:p>
          <w:p w14:paraId="71C617AC" w14:textId="77777777" w:rsidR="00257A3E" w:rsidRDefault="00000000">
            <w:pPr>
              <w:spacing w:after="88"/>
              <w:ind w:left="0" w:right="-2040" w:hanging="660"/>
            </w:pPr>
            <w:r>
              <w:rPr>
                <w:b/>
                <w:sz w:val="20"/>
              </w:rPr>
              <w:t>SEDES/DF. SECRETARIA DE ESTADO DE EDUCAÇÃO DO DISTRITO FEDERAL (SES). REPRESENTAÇÃO. PRESCRIÇÃO. CONTROLE EXTERNO. PROCESSO ADMINISTRATIVO. PREVISÃO LEGAL. INEXISTÊNCIA. INAPLICABILIDADE. MÉRITO. IMPROCEDÊNCIA.</w:t>
            </w:r>
          </w:p>
          <w:p w14:paraId="57871865" w14:textId="77777777" w:rsidR="00257A3E" w:rsidRDefault="00000000">
            <w:pPr>
              <w:numPr>
                <w:ilvl w:val="0"/>
                <w:numId w:val="5"/>
              </w:numPr>
              <w:spacing w:after="238" w:line="270" w:lineRule="auto"/>
              <w:ind w:right="-1974" w:firstLine="500"/>
            </w:pPr>
            <w:r>
              <w:t>Não se aplica a Decisão Normativa nº 5/2021 quando o objeto do processo não envolver pretensão punitiva do TCDF ou o exercício da pretensão ressarcitória no âmbito do controle externo.</w:t>
            </w:r>
          </w:p>
          <w:p w14:paraId="74BFBEB8" w14:textId="77777777" w:rsidR="00257A3E" w:rsidRDefault="00000000">
            <w:pPr>
              <w:numPr>
                <w:ilvl w:val="0"/>
                <w:numId w:val="5"/>
              </w:numPr>
              <w:spacing w:after="0" w:line="259" w:lineRule="auto"/>
              <w:ind w:right="-1974" w:firstLine="500"/>
            </w:pPr>
            <w:r>
              <w:t xml:space="preserve">Não se aplica a Decisão Normativa nº 5/2021 em processos administrativos que não alberguem a fase interna de tomada de contas especial, por ausência de previsão legal. </w:t>
            </w:r>
          </w:p>
        </w:tc>
      </w:tr>
    </w:tbl>
    <w:p w14:paraId="7781F4EF" w14:textId="77777777" w:rsidR="00257A3E" w:rsidRDefault="00000000">
      <w:pPr>
        <w:spacing w:after="52" w:line="261" w:lineRule="auto"/>
        <w:ind w:left="18" w:right="0" w:hanging="10"/>
      </w:pPr>
      <w:r>
        <w:rPr>
          <w:b/>
          <w:sz w:val="20"/>
        </w:rPr>
        <w:t>Relator:</w:t>
      </w:r>
    </w:p>
    <w:p w14:paraId="4F9E5DA6" w14:textId="77777777" w:rsidR="00257A3E" w:rsidRDefault="00000000">
      <w:pPr>
        <w:spacing w:after="155" w:line="261" w:lineRule="auto"/>
        <w:ind w:left="18" w:right="0" w:hanging="10"/>
      </w:pPr>
      <w:r>
        <w:rPr>
          <w:b/>
          <w:sz w:val="20"/>
        </w:rPr>
        <w:t>Antonio Renato Alves Rainha</w:t>
      </w:r>
    </w:p>
    <w:p w14:paraId="097B87A5" w14:textId="77777777" w:rsidR="00257A3E" w:rsidRDefault="00000000">
      <w:pPr>
        <w:spacing w:after="470" w:line="261" w:lineRule="auto"/>
        <w:ind w:left="18" w:right="0" w:hanging="10"/>
      </w:pPr>
      <w:r>
        <w:rPr>
          <w:b/>
          <w:sz w:val="20"/>
        </w:rPr>
        <w:t>Decisão por unanimidade</w:t>
      </w:r>
    </w:p>
    <w:p w14:paraId="630F6C5A" w14:textId="77777777" w:rsidR="00257A3E" w:rsidRDefault="00000000">
      <w:pPr>
        <w:spacing w:after="155" w:line="261" w:lineRule="auto"/>
        <w:ind w:left="18" w:right="0" w:hanging="10"/>
      </w:pPr>
      <w:r>
        <w:rPr>
          <w:b/>
          <w:sz w:val="20"/>
        </w:rPr>
        <w:t>Legislação relacionada:</w:t>
      </w:r>
    </w:p>
    <w:p w14:paraId="61BCA75D" w14:textId="77777777" w:rsidR="00257A3E" w:rsidRDefault="00000000">
      <w:pPr>
        <w:spacing w:after="52" w:line="259" w:lineRule="auto"/>
        <w:ind w:left="18" w:right="0" w:hanging="10"/>
        <w:jc w:val="left"/>
      </w:pPr>
      <w:r>
        <w:rPr>
          <w:color w:val="2205FC"/>
          <w:sz w:val="20"/>
          <w:u w:val="single" w:color="2205FC"/>
        </w:rPr>
        <w:t xml:space="preserve">Decisão normativa TCDF nº 5/2021 </w:t>
      </w:r>
      <w:r>
        <w:rPr>
          <w:b/>
          <w:sz w:val="20"/>
        </w:rPr>
        <w:t>Sessão:</w:t>
      </w:r>
    </w:p>
    <w:p w14:paraId="1D6D7F7E" w14:textId="77777777" w:rsidR="00257A3E" w:rsidRDefault="00000000">
      <w:pPr>
        <w:spacing w:after="155" w:line="261" w:lineRule="auto"/>
        <w:ind w:left="18" w:right="0" w:hanging="10"/>
      </w:pPr>
      <w:r>
        <w:rPr>
          <w:b/>
          <w:sz w:val="20"/>
        </w:rPr>
        <w:t>ORDINÁRIA nº 5427, de 25/06/2025.</w:t>
      </w:r>
    </w:p>
    <w:p w14:paraId="0CC0BD0C" w14:textId="77777777" w:rsidR="00257A3E" w:rsidRDefault="00000000">
      <w:pPr>
        <w:spacing w:after="167" w:line="259" w:lineRule="auto"/>
        <w:ind w:left="18" w:right="0" w:hanging="10"/>
        <w:jc w:val="left"/>
      </w:pPr>
      <w:r>
        <w:rPr>
          <w:color w:val="2205FC"/>
          <w:sz w:val="20"/>
          <w:u w:val="single" w:color="2205FC"/>
        </w:rPr>
        <w:t>Proc. nº 5287/2024 - Dec. nº 2268/2025</w:t>
      </w:r>
    </w:p>
    <w:sectPr w:rsidR="00257A3E">
      <w:type w:val="continuous"/>
      <w:pgSz w:w="11900" w:h="16840"/>
      <w:pgMar w:top="976" w:right="2363" w:bottom="6131" w:left="1177" w:header="720" w:footer="720" w:gutter="0"/>
      <w:cols w:num="2" w:space="720" w:equalWidth="0">
        <w:col w:w="4065" w:space="759"/>
        <w:col w:w="3537"/>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4B09B" w14:textId="77777777" w:rsidR="00AD375B" w:rsidRDefault="00AD375B">
      <w:pPr>
        <w:spacing w:after="0" w:line="240" w:lineRule="auto"/>
      </w:pPr>
      <w:r>
        <w:separator/>
      </w:r>
    </w:p>
  </w:endnote>
  <w:endnote w:type="continuationSeparator" w:id="0">
    <w:p w14:paraId="31D41896" w14:textId="77777777" w:rsidR="00AD375B" w:rsidRDefault="00AD37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F413A" w14:textId="77777777" w:rsidR="00257A3E" w:rsidRDefault="00000000">
    <w:pPr>
      <w:spacing w:after="0" w:line="259" w:lineRule="auto"/>
      <w:ind w:left="0" w:right="411" w:firstLine="0"/>
      <w:jc w:val="righ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7CEA55B3" wp14:editId="44E6BD85">
              <wp:simplePos x="0" y="0"/>
              <wp:positionH relativeFrom="page">
                <wp:posOffset>254000</wp:posOffset>
              </wp:positionH>
              <wp:positionV relativeFrom="page">
                <wp:posOffset>9982200</wp:posOffset>
              </wp:positionV>
              <wp:extent cx="6553200" cy="12700"/>
              <wp:effectExtent l="0" t="0" r="0" b="0"/>
              <wp:wrapSquare wrapText="bothSides"/>
              <wp:docPr id="14509" name="Group 14509"/>
              <wp:cNvGraphicFramePr/>
              <a:graphic xmlns:a="http://schemas.openxmlformats.org/drawingml/2006/main">
                <a:graphicData uri="http://schemas.microsoft.com/office/word/2010/wordprocessingGroup">
                  <wpg:wgp>
                    <wpg:cNvGrpSpPr/>
                    <wpg:grpSpPr>
                      <a:xfrm>
                        <a:off x="0" y="0"/>
                        <a:ext cx="6553200" cy="12700"/>
                        <a:chOff x="0" y="0"/>
                        <a:chExt cx="6553200" cy="12700"/>
                      </a:xfrm>
                    </wpg:grpSpPr>
                    <wps:wsp>
                      <wps:cNvPr id="14510" name="Shape 14510"/>
                      <wps:cNvSpPr/>
                      <wps:spPr>
                        <a:xfrm>
                          <a:off x="0" y="0"/>
                          <a:ext cx="6553200" cy="0"/>
                        </a:xfrm>
                        <a:custGeom>
                          <a:avLst/>
                          <a:gdLst/>
                          <a:ahLst/>
                          <a:cxnLst/>
                          <a:rect l="0" t="0" r="0" b="0"/>
                          <a:pathLst>
                            <a:path w="6553200">
                              <a:moveTo>
                                <a:pt x="0" y="0"/>
                              </a:moveTo>
                              <a:lnTo>
                                <a:pt x="6553200" y="0"/>
                              </a:lnTo>
                            </a:path>
                          </a:pathLst>
                        </a:custGeom>
                        <a:ln w="12700" cap="flat">
                          <a:miter lim="127000"/>
                        </a:ln>
                      </wps:spPr>
                      <wps:style>
                        <a:lnRef idx="1">
                          <a:srgbClr val="00608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4509" style="width:516pt;height:1pt;position:absolute;mso-position-horizontal-relative:page;mso-position-horizontal:absolute;margin-left:20pt;mso-position-vertical-relative:page;margin-top:786pt;" coordsize="65532,127">
              <v:shape id="Shape 14510" style="position:absolute;width:65532;height:0;left:0;top:0;" coordsize="6553200,0" path="m0,0l6553200,0">
                <v:stroke weight="1pt" endcap="flat" joinstyle="miter" miterlimit="10" on="true" color="#00608f"/>
                <v:fill on="false" color="#000000" opacity="0"/>
              </v:shape>
              <w10:wrap type="square"/>
            </v:group>
          </w:pict>
        </mc:Fallback>
      </mc:AlternateContent>
    </w:r>
    <w:r>
      <w:rPr>
        <w:rFonts w:ascii="Calibri" w:eastAsia="Calibri" w:hAnsi="Calibri" w:cs="Calibri"/>
        <w:color w:val="00608F"/>
        <w:sz w:val="32"/>
      </w:rPr>
      <w:t xml:space="preserve"> </w:t>
    </w:r>
    <w:r>
      <w:fldChar w:fldCharType="begin"/>
    </w:r>
    <w:r>
      <w:instrText xml:space="preserve"> PAGE   \* MERGEFORMAT </w:instrText>
    </w:r>
    <w:r>
      <w:fldChar w:fldCharType="separate"/>
    </w:r>
    <w:r>
      <w:rPr>
        <w:rFonts w:ascii="Calibri" w:eastAsia="Calibri" w:hAnsi="Calibri" w:cs="Calibri"/>
        <w:color w:val="00608F"/>
        <w:sz w:val="32"/>
      </w:rPr>
      <w:t>1</w:t>
    </w:r>
    <w:r>
      <w:rPr>
        <w:rFonts w:ascii="Calibri" w:eastAsia="Calibri" w:hAnsi="Calibri" w:cs="Calibri"/>
        <w:color w:val="00608F"/>
        <w:sz w:val="32"/>
      </w:rPr>
      <w:fldChar w:fldCharType="end"/>
    </w:r>
  </w:p>
  <w:p w14:paraId="6BA63578" w14:textId="77777777" w:rsidR="00257A3E" w:rsidRDefault="00000000">
    <w:pPr>
      <w:spacing w:after="29" w:line="259" w:lineRule="auto"/>
      <w:ind w:left="2575" w:right="0" w:firstLine="0"/>
      <w:jc w:val="left"/>
    </w:pPr>
    <w:r>
      <w:rPr>
        <w:rFonts w:ascii="Calibri" w:eastAsia="Calibri" w:hAnsi="Calibri" w:cs="Calibri"/>
        <w:sz w:val="16"/>
      </w:rPr>
      <w:t>Coordenadoria de Gestão do Conhecimento Institucional – CGCI</w:t>
    </w:r>
  </w:p>
  <w:p w14:paraId="625E2FE8" w14:textId="77777777" w:rsidR="00257A3E" w:rsidRDefault="00000000">
    <w:pPr>
      <w:spacing w:after="173" w:line="259" w:lineRule="auto"/>
      <w:ind w:left="683" w:right="0" w:firstLine="0"/>
      <w:jc w:val="left"/>
    </w:pPr>
    <w:r>
      <w:rPr>
        <w:rFonts w:ascii="Calibri" w:eastAsia="Calibri" w:hAnsi="Calibri" w:cs="Calibri"/>
        <w:sz w:val="16"/>
      </w:rPr>
      <w:t>Supervisão de Legislação e Jurisprudência - SLJ Telefone: (61) 3314-2226/2259 e-mail: jurisprudencia@tc.df.gov.br</w:t>
    </w:r>
  </w:p>
  <w:p w14:paraId="5260C619" w14:textId="77777777" w:rsidR="00257A3E" w:rsidRDefault="00000000">
    <w:pPr>
      <w:spacing w:after="0" w:line="259" w:lineRule="auto"/>
      <w:ind w:left="197" w:right="0" w:firstLine="0"/>
      <w:jc w:val="left"/>
    </w:pPr>
    <w:r>
      <w:rPr>
        <w:rFonts w:ascii="Calibri" w:eastAsia="Calibri" w:hAnsi="Calibri" w:cs="Calibri"/>
        <w:sz w:val="16"/>
      </w:rPr>
      <w:t>Documento assinado digitalmente. Para verificar as assinaturas, acesse www.tc.df.gov.br/autenticidade e informe o e-DOC 74BB864C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85299" w14:textId="77777777" w:rsidR="00257A3E" w:rsidRDefault="00000000">
    <w:pPr>
      <w:spacing w:after="0" w:line="259" w:lineRule="auto"/>
      <w:ind w:left="0" w:right="411" w:firstLine="0"/>
      <w:jc w:val="righ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63017D24" wp14:editId="4B2AC883">
              <wp:simplePos x="0" y="0"/>
              <wp:positionH relativeFrom="page">
                <wp:posOffset>254000</wp:posOffset>
              </wp:positionH>
              <wp:positionV relativeFrom="page">
                <wp:posOffset>9982200</wp:posOffset>
              </wp:positionV>
              <wp:extent cx="6553200" cy="12700"/>
              <wp:effectExtent l="0" t="0" r="0" b="0"/>
              <wp:wrapSquare wrapText="bothSides"/>
              <wp:docPr id="14475" name="Group 14475"/>
              <wp:cNvGraphicFramePr/>
              <a:graphic xmlns:a="http://schemas.openxmlformats.org/drawingml/2006/main">
                <a:graphicData uri="http://schemas.microsoft.com/office/word/2010/wordprocessingGroup">
                  <wpg:wgp>
                    <wpg:cNvGrpSpPr/>
                    <wpg:grpSpPr>
                      <a:xfrm>
                        <a:off x="0" y="0"/>
                        <a:ext cx="6553200" cy="12700"/>
                        <a:chOff x="0" y="0"/>
                        <a:chExt cx="6553200" cy="12700"/>
                      </a:xfrm>
                    </wpg:grpSpPr>
                    <wps:wsp>
                      <wps:cNvPr id="14476" name="Shape 14476"/>
                      <wps:cNvSpPr/>
                      <wps:spPr>
                        <a:xfrm>
                          <a:off x="0" y="0"/>
                          <a:ext cx="6553200" cy="0"/>
                        </a:xfrm>
                        <a:custGeom>
                          <a:avLst/>
                          <a:gdLst/>
                          <a:ahLst/>
                          <a:cxnLst/>
                          <a:rect l="0" t="0" r="0" b="0"/>
                          <a:pathLst>
                            <a:path w="6553200">
                              <a:moveTo>
                                <a:pt x="0" y="0"/>
                              </a:moveTo>
                              <a:lnTo>
                                <a:pt x="6553200" y="0"/>
                              </a:lnTo>
                            </a:path>
                          </a:pathLst>
                        </a:custGeom>
                        <a:ln w="12700" cap="flat">
                          <a:miter lim="127000"/>
                        </a:ln>
                      </wps:spPr>
                      <wps:style>
                        <a:lnRef idx="1">
                          <a:srgbClr val="00608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4475" style="width:516pt;height:1pt;position:absolute;mso-position-horizontal-relative:page;mso-position-horizontal:absolute;margin-left:20pt;mso-position-vertical-relative:page;margin-top:786pt;" coordsize="65532,127">
              <v:shape id="Shape 14476" style="position:absolute;width:65532;height:0;left:0;top:0;" coordsize="6553200,0" path="m0,0l6553200,0">
                <v:stroke weight="1pt" endcap="flat" joinstyle="miter" miterlimit="10" on="true" color="#00608f"/>
                <v:fill on="false" color="#000000" opacity="0"/>
              </v:shape>
              <w10:wrap type="square"/>
            </v:group>
          </w:pict>
        </mc:Fallback>
      </mc:AlternateContent>
    </w:r>
    <w:r>
      <w:rPr>
        <w:rFonts w:ascii="Calibri" w:eastAsia="Calibri" w:hAnsi="Calibri" w:cs="Calibri"/>
        <w:color w:val="00608F"/>
        <w:sz w:val="32"/>
      </w:rPr>
      <w:t xml:space="preserve"> </w:t>
    </w:r>
    <w:r>
      <w:fldChar w:fldCharType="begin"/>
    </w:r>
    <w:r>
      <w:instrText xml:space="preserve"> PAGE   \* MERGEFORMAT </w:instrText>
    </w:r>
    <w:r>
      <w:fldChar w:fldCharType="separate"/>
    </w:r>
    <w:r>
      <w:rPr>
        <w:rFonts w:ascii="Calibri" w:eastAsia="Calibri" w:hAnsi="Calibri" w:cs="Calibri"/>
        <w:color w:val="00608F"/>
        <w:sz w:val="32"/>
      </w:rPr>
      <w:t>1</w:t>
    </w:r>
    <w:r>
      <w:rPr>
        <w:rFonts w:ascii="Calibri" w:eastAsia="Calibri" w:hAnsi="Calibri" w:cs="Calibri"/>
        <w:color w:val="00608F"/>
        <w:sz w:val="32"/>
      </w:rPr>
      <w:fldChar w:fldCharType="end"/>
    </w:r>
  </w:p>
  <w:p w14:paraId="0875A1FC" w14:textId="77777777" w:rsidR="00257A3E" w:rsidRDefault="00000000">
    <w:pPr>
      <w:spacing w:after="29" w:line="259" w:lineRule="auto"/>
      <w:ind w:left="2575" w:right="0" w:firstLine="0"/>
      <w:jc w:val="left"/>
    </w:pPr>
    <w:r>
      <w:rPr>
        <w:rFonts w:ascii="Calibri" w:eastAsia="Calibri" w:hAnsi="Calibri" w:cs="Calibri"/>
        <w:sz w:val="16"/>
      </w:rPr>
      <w:t>Coordenadoria de Gestão do Conhecimento Institucional – CGCI</w:t>
    </w:r>
  </w:p>
  <w:p w14:paraId="23D3F154" w14:textId="77777777" w:rsidR="00257A3E" w:rsidRDefault="00000000">
    <w:pPr>
      <w:spacing w:after="173" w:line="259" w:lineRule="auto"/>
      <w:ind w:left="683" w:right="0" w:firstLine="0"/>
      <w:jc w:val="left"/>
    </w:pPr>
    <w:r>
      <w:rPr>
        <w:rFonts w:ascii="Calibri" w:eastAsia="Calibri" w:hAnsi="Calibri" w:cs="Calibri"/>
        <w:sz w:val="16"/>
      </w:rPr>
      <w:t>Supervisão de Legislação e Jurisprudência - SLJ Telefone: (61) 3314-2226/2259 e-mail: jurisprudencia@tc.df.gov.br</w:t>
    </w:r>
  </w:p>
  <w:p w14:paraId="14DDE083" w14:textId="77777777" w:rsidR="00257A3E" w:rsidRDefault="00000000">
    <w:pPr>
      <w:spacing w:after="0" w:line="259" w:lineRule="auto"/>
      <w:ind w:left="197" w:right="0" w:firstLine="0"/>
      <w:jc w:val="left"/>
    </w:pPr>
    <w:r>
      <w:rPr>
        <w:rFonts w:ascii="Calibri" w:eastAsia="Calibri" w:hAnsi="Calibri" w:cs="Calibri"/>
        <w:sz w:val="16"/>
      </w:rPr>
      <w:t>Documento assinado digitalmente. Para verificar as assinaturas, acesse www.tc.df.gov.br/autenticidade e informe o e-DOC 74BB864C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BDDED" w14:textId="77777777" w:rsidR="00257A3E" w:rsidRDefault="00000000">
    <w:pPr>
      <w:spacing w:after="0" w:line="259" w:lineRule="auto"/>
      <w:ind w:left="0" w:right="411" w:firstLine="0"/>
      <w:jc w:val="righ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435B1BC9" wp14:editId="1945D1D4">
              <wp:simplePos x="0" y="0"/>
              <wp:positionH relativeFrom="page">
                <wp:posOffset>254000</wp:posOffset>
              </wp:positionH>
              <wp:positionV relativeFrom="page">
                <wp:posOffset>9982200</wp:posOffset>
              </wp:positionV>
              <wp:extent cx="6553200" cy="12700"/>
              <wp:effectExtent l="0" t="0" r="0" b="0"/>
              <wp:wrapSquare wrapText="bothSides"/>
              <wp:docPr id="14441" name="Group 14441"/>
              <wp:cNvGraphicFramePr/>
              <a:graphic xmlns:a="http://schemas.openxmlformats.org/drawingml/2006/main">
                <a:graphicData uri="http://schemas.microsoft.com/office/word/2010/wordprocessingGroup">
                  <wpg:wgp>
                    <wpg:cNvGrpSpPr/>
                    <wpg:grpSpPr>
                      <a:xfrm>
                        <a:off x="0" y="0"/>
                        <a:ext cx="6553200" cy="12700"/>
                        <a:chOff x="0" y="0"/>
                        <a:chExt cx="6553200" cy="12700"/>
                      </a:xfrm>
                    </wpg:grpSpPr>
                    <wps:wsp>
                      <wps:cNvPr id="14442" name="Shape 14442"/>
                      <wps:cNvSpPr/>
                      <wps:spPr>
                        <a:xfrm>
                          <a:off x="0" y="0"/>
                          <a:ext cx="6553200" cy="0"/>
                        </a:xfrm>
                        <a:custGeom>
                          <a:avLst/>
                          <a:gdLst/>
                          <a:ahLst/>
                          <a:cxnLst/>
                          <a:rect l="0" t="0" r="0" b="0"/>
                          <a:pathLst>
                            <a:path w="6553200">
                              <a:moveTo>
                                <a:pt x="0" y="0"/>
                              </a:moveTo>
                              <a:lnTo>
                                <a:pt x="6553200" y="0"/>
                              </a:lnTo>
                            </a:path>
                          </a:pathLst>
                        </a:custGeom>
                        <a:ln w="12700" cap="flat">
                          <a:miter lim="127000"/>
                        </a:ln>
                      </wps:spPr>
                      <wps:style>
                        <a:lnRef idx="1">
                          <a:srgbClr val="00608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4441" style="width:516pt;height:1pt;position:absolute;mso-position-horizontal-relative:page;mso-position-horizontal:absolute;margin-left:20pt;mso-position-vertical-relative:page;margin-top:786pt;" coordsize="65532,127">
              <v:shape id="Shape 14442" style="position:absolute;width:65532;height:0;left:0;top:0;" coordsize="6553200,0" path="m0,0l6553200,0">
                <v:stroke weight="1pt" endcap="flat" joinstyle="miter" miterlimit="10" on="true" color="#00608f"/>
                <v:fill on="false" color="#000000" opacity="0"/>
              </v:shape>
              <w10:wrap type="square"/>
            </v:group>
          </w:pict>
        </mc:Fallback>
      </mc:AlternateContent>
    </w:r>
    <w:r>
      <w:rPr>
        <w:rFonts w:ascii="Calibri" w:eastAsia="Calibri" w:hAnsi="Calibri" w:cs="Calibri"/>
        <w:color w:val="00608F"/>
        <w:sz w:val="32"/>
      </w:rPr>
      <w:t xml:space="preserve"> </w:t>
    </w:r>
    <w:r>
      <w:fldChar w:fldCharType="begin"/>
    </w:r>
    <w:r>
      <w:instrText xml:space="preserve"> PAGE   \* MERGEFORMAT </w:instrText>
    </w:r>
    <w:r>
      <w:fldChar w:fldCharType="separate"/>
    </w:r>
    <w:r>
      <w:rPr>
        <w:rFonts w:ascii="Calibri" w:eastAsia="Calibri" w:hAnsi="Calibri" w:cs="Calibri"/>
        <w:color w:val="00608F"/>
        <w:sz w:val="32"/>
      </w:rPr>
      <w:t>1</w:t>
    </w:r>
    <w:r>
      <w:rPr>
        <w:rFonts w:ascii="Calibri" w:eastAsia="Calibri" w:hAnsi="Calibri" w:cs="Calibri"/>
        <w:color w:val="00608F"/>
        <w:sz w:val="32"/>
      </w:rPr>
      <w:fldChar w:fldCharType="end"/>
    </w:r>
  </w:p>
  <w:p w14:paraId="21FDB746" w14:textId="77777777" w:rsidR="00257A3E" w:rsidRDefault="00000000">
    <w:pPr>
      <w:spacing w:after="29" w:line="259" w:lineRule="auto"/>
      <w:ind w:left="2575" w:right="0" w:firstLine="0"/>
      <w:jc w:val="left"/>
    </w:pPr>
    <w:r>
      <w:rPr>
        <w:rFonts w:ascii="Calibri" w:eastAsia="Calibri" w:hAnsi="Calibri" w:cs="Calibri"/>
        <w:sz w:val="16"/>
      </w:rPr>
      <w:t>Coordenadoria de Gestão do Conhecimento Institucional – CGCI</w:t>
    </w:r>
  </w:p>
  <w:p w14:paraId="1D6CBAAB" w14:textId="77777777" w:rsidR="00257A3E" w:rsidRDefault="00000000">
    <w:pPr>
      <w:spacing w:after="173" w:line="259" w:lineRule="auto"/>
      <w:ind w:left="683" w:right="0" w:firstLine="0"/>
      <w:jc w:val="left"/>
    </w:pPr>
    <w:r>
      <w:rPr>
        <w:rFonts w:ascii="Calibri" w:eastAsia="Calibri" w:hAnsi="Calibri" w:cs="Calibri"/>
        <w:sz w:val="16"/>
      </w:rPr>
      <w:t>Supervisão de Legislação e Jurisprudência - SLJ Telefone: (61) 3314-2226/2259 e-mail: jurisprudencia@tc.df.gov.br</w:t>
    </w:r>
  </w:p>
  <w:p w14:paraId="6F41FB79" w14:textId="77777777" w:rsidR="00257A3E" w:rsidRDefault="00000000">
    <w:pPr>
      <w:spacing w:after="0" w:line="259" w:lineRule="auto"/>
      <w:ind w:left="197" w:right="0" w:firstLine="0"/>
      <w:jc w:val="left"/>
    </w:pPr>
    <w:r>
      <w:rPr>
        <w:rFonts w:ascii="Calibri" w:eastAsia="Calibri" w:hAnsi="Calibri" w:cs="Calibri"/>
        <w:sz w:val="16"/>
      </w:rPr>
      <w:t>Documento assinado digitalmente. Para verificar as assinaturas, acesse www.tc.df.gov.br/autenticidade e informe o e-DOC 74BB864C</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E02FB" w14:textId="77777777" w:rsidR="00257A3E" w:rsidRDefault="00000000">
    <w:pPr>
      <w:spacing w:after="0" w:line="259" w:lineRule="auto"/>
      <w:ind w:left="-780" w:right="404" w:firstLine="0"/>
      <w:jc w:val="right"/>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268F6365" wp14:editId="65E4E810">
              <wp:simplePos x="0" y="0"/>
              <wp:positionH relativeFrom="page">
                <wp:posOffset>254000</wp:posOffset>
              </wp:positionH>
              <wp:positionV relativeFrom="page">
                <wp:posOffset>9982200</wp:posOffset>
              </wp:positionV>
              <wp:extent cx="6553200" cy="12700"/>
              <wp:effectExtent l="0" t="0" r="0" b="0"/>
              <wp:wrapSquare wrapText="bothSides"/>
              <wp:docPr id="14615" name="Group 14615"/>
              <wp:cNvGraphicFramePr/>
              <a:graphic xmlns:a="http://schemas.openxmlformats.org/drawingml/2006/main">
                <a:graphicData uri="http://schemas.microsoft.com/office/word/2010/wordprocessingGroup">
                  <wpg:wgp>
                    <wpg:cNvGrpSpPr/>
                    <wpg:grpSpPr>
                      <a:xfrm>
                        <a:off x="0" y="0"/>
                        <a:ext cx="6553200" cy="12700"/>
                        <a:chOff x="0" y="0"/>
                        <a:chExt cx="6553200" cy="12700"/>
                      </a:xfrm>
                    </wpg:grpSpPr>
                    <wps:wsp>
                      <wps:cNvPr id="14616" name="Shape 14616"/>
                      <wps:cNvSpPr/>
                      <wps:spPr>
                        <a:xfrm>
                          <a:off x="0" y="0"/>
                          <a:ext cx="6553200" cy="0"/>
                        </a:xfrm>
                        <a:custGeom>
                          <a:avLst/>
                          <a:gdLst/>
                          <a:ahLst/>
                          <a:cxnLst/>
                          <a:rect l="0" t="0" r="0" b="0"/>
                          <a:pathLst>
                            <a:path w="6553200">
                              <a:moveTo>
                                <a:pt x="0" y="0"/>
                              </a:moveTo>
                              <a:lnTo>
                                <a:pt x="6553200" y="0"/>
                              </a:lnTo>
                            </a:path>
                          </a:pathLst>
                        </a:custGeom>
                        <a:ln w="12700" cap="flat">
                          <a:miter lim="127000"/>
                        </a:ln>
                      </wps:spPr>
                      <wps:style>
                        <a:lnRef idx="1">
                          <a:srgbClr val="00608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4615" style="width:516pt;height:1pt;position:absolute;mso-position-horizontal-relative:page;mso-position-horizontal:absolute;margin-left:20pt;mso-position-vertical-relative:page;margin-top:786pt;" coordsize="65532,127">
              <v:shape id="Shape 14616" style="position:absolute;width:65532;height:0;left:0;top:0;" coordsize="6553200,0" path="m0,0l6553200,0">
                <v:stroke weight="1pt" endcap="flat" joinstyle="miter" miterlimit="10" on="true" color="#00608f"/>
                <v:fill on="false" color="#000000" opacity="0"/>
              </v:shape>
              <w10:wrap type="square"/>
            </v:group>
          </w:pict>
        </mc:Fallback>
      </mc:AlternateContent>
    </w:r>
    <w:r>
      <w:rPr>
        <w:rFonts w:ascii="Calibri" w:eastAsia="Calibri" w:hAnsi="Calibri" w:cs="Calibri"/>
        <w:color w:val="00608F"/>
        <w:sz w:val="32"/>
      </w:rPr>
      <w:t xml:space="preserve"> </w:t>
    </w:r>
    <w:r>
      <w:fldChar w:fldCharType="begin"/>
    </w:r>
    <w:r>
      <w:instrText xml:space="preserve"> PAGE   \* MERGEFORMAT </w:instrText>
    </w:r>
    <w:r>
      <w:fldChar w:fldCharType="separate"/>
    </w:r>
    <w:r>
      <w:rPr>
        <w:rFonts w:ascii="Calibri" w:eastAsia="Calibri" w:hAnsi="Calibri" w:cs="Calibri"/>
        <w:color w:val="00608F"/>
        <w:sz w:val="32"/>
      </w:rPr>
      <w:t>1</w:t>
    </w:r>
    <w:r>
      <w:rPr>
        <w:rFonts w:ascii="Calibri" w:eastAsia="Calibri" w:hAnsi="Calibri" w:cs="Calibri"/>
        <w:color w:val="00608F"/>
        <w:sz w:val="32"/>
      </w:rPr>
      <w:fldChar w:fldCharType="end"/>
    </w:r>
  </w:p>
  <w:p w14:paraId="2885270F" w14:textId="77777777" w:rsidR="00257A3E" w:rsidRDefault="00000000">
    <w:pPr>
      <w:spacing w:after="29" w:line="259" w:lineRule="auto"/>
      <w:ind w:left="1795" w:right="0" w:firstLine="0"/>
      <w:jc w:val="left"/>
    </w:pPr>
    <w:r>
      <w:rPr>
        <w:rFonts w:ascii="Calibri" w:eastAsia="Calibri" w:hAnsi="Calibri" w:cs="Calibri"/>
        <w:sz w:val="16"/>
      </w:rPr>
      <w:t>Coordenadoria de Gestão do Conhecimento Institucional – CGCI</w:t>
    </w:r>
  </w:p>
  <w:p w14:paraId="1738360E" w14:textId="77777777" w:rsidR="00257A3E" w:rsidRDefault="00000000">
    <w:pPr>
      <w:spacing w:after="173" w:line="259" w:lineRule="auto"/>
      <w:ind w:left="-97" w:right="0" w:firstLine="0"/>
      <w:jc w:val="left"/>
    </w:pPr>
    <w:r>
      <w:rPr>
        <w:rFonts w:ascii="Calibri" w:eastAsia="Calibri" w:hAnsi="Calibri" w:cs="Calibri"/>
        <w:sz w:val="16"/>
      </w:rPr>
      <w:t>Supervisão de Legislação e Jurisprudência - SLJ Telefone: (61) 3314-2226/2259 e-mail: jurisprudencia@tc.df.gov.br</w:t>
    </w:r>
  </w:p>
  <w:p w14:paraId="627E7520" w14:textId="77777777" w:rsidR="00257A3E" w:rsidRDefault="00000000">
    <w:pPr>
      <w:spacing w:after="0" w:line="259" w:lineRule="auto"/>
      <w:ind w:left="-583" w:right="0" w:firstLine="0"/>
      <w:jc w:val="left"/>
    </w:pPr>
    <w:r>
      <w:rPr>
        <w:rFonts w:ascii="Calibri" w:eastAsia="Calibri" w:hAnsi="Calibri" w:cs="Calibri"/>
        <w:sz w:val="16"/>
      </w:rPr>
      <w:t>Documento assinado digitalmente. Para verificar as assinaturas, acesse www.tc.df.gov.br/autenticidade e informe o e-DOC 74BB864C</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ADA86" w14:textId="77777777" w:rsidR="00257A3E" w:rsidRDefault="00000000">
    <w:pPr>
      <w:spacing w:after="0" w:line="259" w:lineRule="auto"/>
      <w:ind w:left="-780" w:right="404" w:firstLine="0"/>
      <w:jc w:val="righ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19A7ADDE" wp14:editId="50C5E162">
              <wp:simplePos x="0" y="0"/>
              <wp:positionH relativeFrom="page">
                <wp:posOffset>254000</wp:posOffset>
              </wp:positionH>
              <wp:positionV relativeFrom="page">
                <wp:posOffset>9982200</wp:posOffset>
              </wp:positionV>
              <wp:extent cx="6553200" cy="12700"/>
              <wp:effectExtent l="0" t="0" r="0" b="0"/>
              <wp:wrapSquare wrapText="bothSides"/>
              <wp:docPr id="14584" name="Group 14584"/>
              <wp:cNvGraphicFramePr/>
              <a:graphic xmlns:a="http://schemas.openxmlformats.org/drawingml/2006/main">
                <a:graphicData uri="http://schemas.microsoft.com/office/word/2010/wordprocessingGroup">
                  <wpg:wgp>
                    <wpg:cNvGrpSpPr/>
                    <wpg:grpSpPr>
                      <a:xfrm>
                        <a:off x="0" y="0"/>
                        <a:ext cx="6553200" cy="12700"/>
                        <a:chOff x="0" y="0"/>
                        <a:chExt cx="6553200" cy="12700"/>
                      </a:xfrm>
                    </wpg:grpSpPr>
                    <wps:wsp>
                      <wps:cNvPr id="14585" name="Shape 14585"/>
                      <wps:cNvSpPr/>
                      <wps:spPr>
                        <a:xfrm>
                          <a:off x="0" y="0"/>
                          <a:ext cx="6553200" cy="0"/>
                        </a:xfrm>
                        <a:custGeom>
                          <a:avLst/>
                          <a:gdLst/>
                          <a:ahLst/>
                          <a:cxnLst/>
                          <a:rect l="0" t="0" r="0" b="0"/>
                          <a:pathLst>
                            <a:path w="6553200">
                              <a:moveTo>
                                <a:pt x="0" y="0"/>
                              </a:moveTo>
                              <a:lnTo>
                                <a:pt x="6553200" y="0"/>
                              </a:lnTo>
                            </a:path>
                          </a:pathLst>
                        </a:custGeom>
                        <a:ln w="12700" cap="flat">
                          <a:miter lim="127000"/>
                        </a:ln>
                      </wps:spPr>
                      <wps:style>
                        <a:lnRef idx="1">
                          <a:srgbClr val="00608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4584" style="width:516pt;height:1pt;position:absolute;mso-position-horizontal-relative:page;mso-position-horizontal:absolute;margin-left:20pt;mso-position-vertical-relative:page;margin-top:786pt;" coordsize="65532,127">
              <v:shape id="Shape 14585" style="position:absolute;width:65532;height:0;left:0;top:0;" coordsize="6553200,0" path="m0,0l6553200,0">
                <v:stroke weight="1pt" endcap="flat" joinstyle="miter" miterlimit="10" on="true" color="#00608f"/>
                <v:fill on="false" color="#000000" opacity="0"/>
              </v:shape>
              <w10:wrap type="square"/>
            </v:group>
          </w:pict>
        </mc:Fallback>
      </mc:AlternateContent>
    </w:r>
    <w:r>
      <w:rPr>
        <w:rFonts w:ascii="Calibri" w:eastAsia="Calibri" w:hAnsi="Calibri" w:cs="Calibri"/>
        <w:color w:val="00608F"/>
        <w:sz w:val="32"/>
      </w:rPr>
      <w:t xml:space="preserve"> </w:t>
    </w:r>
    <w:r>
      <w:fldChar w:fldCharType="begin"/>
    </w:r>
    <w:r>
      <w:instrText xml:space="preserve"> PAGE   \* MERGEFORMAT </w:instrText>
    </w:r>
    <w:r>
      <w:fldChar w:fldCharType="separate"/>
    </w:r>
    <w:r>
      <w:rPr>
        <w:rFonts w:ascii="Calibri" w:eastAsia="Calibri" w:hAnsi="Calibri" w:cs="Calibri"/>
        <w:color w:val="00608F"/>
        <w:sz w:val="32"/>
      </w:rPr>
      <w:t>1</w:t>
    </w:r>
    <w:r>
      <w:rPr>
        <w:rFonts w:ascii="Calibri" w:eastAsia="Calibri" w:hAnsi="Calibri" w:cs="Calibri"/>
        <w:color w:val="00608F"/>
        <w:sz w:val="32"/>
      </w:rPr>
      <w:fldChar w:fldCharType="end"/>
    </w:r>
  </w:p>
  <w:p w14:paraId="6B9DFD00" w14:textId="77777777" w:rsidR="00257A3E" w:rsidRDefault="00000000">
    <w:pPr>
      <w:spacing w:after="29" w:line="259" w:lineRule="auto"/>
      <w:ind w:left="1795" w:right="0" w:firstLine="0"/>
      <w:jc w:val="left"/>
    </w:pPr>
    <w:r>
      <w:rPr>
        <w:rFonts w:ascii="Calibri" w:eastAsia="Calibri" w:hAnsi="Calibri" w:cs="Calibri"/>
        <w:sz w:val="16"/>
      </w:rPr>
      <w:t>Coordenadoria de Gestão do Conhecimento Institucional – CGCI</w:t>
    </w:r>
  </w:p>
  <w:p w14:paraId="26FFDD4A" w14:textId="77777777" w:rsidR="00257A3E" w:rsidRDefault="00000000">
    <w:pPr>
      <w:spacing w:after="173" w:line="259" w:lineRule="auto"/>
      <w:ind w:left="-97" w:right="0" w:firstLine="0"/>
      <w:jc w:val="left"/>
    </w:pPr>
    <w:r>
      <w:rPr>
        <w:rFonts w:ascii="Calibri" w:eastAsia="Calibri" w:hAnsi="Calibri" w:cs="Calibri"/>
        <w:sz w:val="16"/>
      </w:rPr>
      <w:t>Supervisão de Legislação e Jurisprudência - SLJ Telefone: (61) 3314-2226/2259 e-mail: jurisprudencia@tc.df.gov.br</w:t>
    </w:r>
  </w:p>
  <w:p w14:paraId="40D93620" w14:textId="77777777" w:rsidR="00257A3E" w:rsidRDefault="00000000">
    <w:pPr>
      <w:spacing w:after="0" w:line="259" w:lineRule="auto"/>
      <w:ind w:left="-583" w:right="0" w:firstLine="0"/>
      <w:jc w:val="left"/>
    </w:pPr>
    <w:r>
      <w:rPr>
        <w:rFonts w:ascii="Calibri" w:eastAsia="Calibri" w:hAnsi="Calibri" w:cs="Calibri"/>
        <w:sz w:val="16"/>
      </w:rPr>
      <w:t>Documento assinado digitalmente. Para verificar as assinaturas, acesse www.tc.df.gov.br/autenticidade e informe o e-DOC 74BB864C</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BB5D8" w14:textId="77777777" w:rsidR="00257A3E" w:rsidRDefault="00000000">
    <w:pPr>
      <w:spacing w:after="0" w:line="259" w:lineRule="auto"/>
      <w:ind w:left="-780" w:right="404" w:firstLine="0"/>
      <w:jc w:val="right"/>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52644E3B" wp14:editId="6D1A2145">
              <wp:simplePos x="0" y="0"/>
              <wp:positionH relativeFrom="page">
                <wp:posOffset>254000</wp:posOffset>
              </wp:positionH>
              <wp:positionV relativeFrom="page">
                <wp:posOffset>9982200</wp:posOffset>
              </wp:positionV>
              <wp:extent cx="6553200" cy="12700"/>
              <wp:effectExtent l="0" t="0" r="0" b="0"/>
              <wp:wrapSquare wrapText="bothSides"/>
              <wp:docPr id="14547" name="Group 14547"/>
              <wp:cNvGraphicFramePr/>
              <a:graphic xmlns:a="http://schemas.openxmlformats.org/drawingml/2006/main">
                <a:graphicData uri="http://schemas.microsoft.com/office/word/2010/wordprocessingGroup">
                  <wpg:wgp>
                    <wpg:cNvGrpSpPr/>
                    <wpg:grpSpPr>
                      <a:xfrm>
                        <a:off x="0" y="0"/>
                        <a:ext cx="6553200" cy="12700"/>
                        <a:chOff x="0" y="0"/>
                        <a:chExt cx="6553200" cy="12700"/>
                      </a:xfrm>
                    </wpg:grpSpPr>
                    <wps:wsp>
                      <wps:cNvPr id="14548" name="Shape 14548"/>
                      <wps:cNvSpPr/>
                      <wps:spPr>
                        <a:xfrm>
                          <a:off x="0" y="0"/>
                          <a:ext cx="6553200" cy="0"/>
                        </a:xfrm>
                        <a:custGeom>
                          <a:avLst/>
                          <a:gdLst/>
                          <a:ahLst/>
                          <a:cxnLst/>
                          <a:rect l="0" t="0" r="0" b="0"/>
                          <a:pathLst>
                            <a:path w="6553200">
                              <a:moveTo>
                                <a:pt x="0" y="0"/>
                              </a:moveTo>
                              <a:lnTo>
                                <a:pt x="6553200" y="0"/>
                              </a:lnTo>
                            </a:path>
                          </a:pathLst>
                        </a:custGeom>
                        <a:ln w="12700" cap="flat">
                          <a:miter lim="127000"/>
                        </a:ln>
                      </wps:spPr>
                      <wps:style>
                        <a:lnRef idx="1">
                          <a:srgbClr val="00608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4547" style="width:516pt;height:1pt;position:absolute;mso-position-horizontal-relative:page;mso-position-horizontal:absolute;margin-left:20pt;mso-position-vertical-relative:page;margin-top:786pt;" coordsize="65532,127">
              <v:shape id="Shape 14548" style="position:absolute;width:65532;height:0;left:0;top:0;" coordsize="6553200,0" path="m0,0l6553200,0">
                <v:stroke weight="1pt" endcap="flat" joinstyle="miter" miterlimit="10" on="true" color="#00608f"/>
                <v:fill on="false" color="#000000" opacity="0"/>
              </v:shape>
              <w10:wrap type="square"/>
            </v:group>
          </w:pict>
        </mc:Fallback>
      </mc:AlternateContent>
    </w:r>
    <w:r>
      <w:rPr>
        <w:rFonts w:ascii="Calibri" w:eastAsia="Calibri" w:hAnsi="Calibri" w:cs="Calibri"/>
        <w:color w:val="00608F"/>
        <w:sz w:val="32"/>
      </w:rPr>
      <w:t xml:space="preserve"> </w:t>
    </w:r>
    <w:r>
      <w:fldChar w:fldCharType="begin"/>
    </w:r>
    <w:r>
      <w:instrText xml:space="preserve"> PAGE   \* MERGEFORMAT </w:instrText>
    </w:r>
    <w:r>
      <w:fldChar w:fldCharType="separate"/>
    </w:r>
    <w:r>
      <w:rPr>
        <w:rFonts w:ascii="Calibri" w:eastAsia="Calibri" w:hAnsi="Calibri" w:cs="Calibri"/>
        <w:color w:val="00608F"/>
        <w:sz w:val="32"/>
      </w:rPr>
      <w:t>1</w:t>
    </w:r>
    <w:r>
      <w:rPr>
        <w:rFonts w:ascii="Calibri" w:eastAsia="Calibri" w:hAnsi="Calibri" w:cs="Calibri"/>
        <w:color w:val="00608F"/>
        <w:sz w:val="32"/>
      </w:rPr>
      <w:fldChar w:fldCharType="end"/>
    </w:r>
  </w:p>
  <w:p w14:paraId="552BD3C5" w14:textId="77777777" w:rsidR="00257A3E" w:rsidRDefault="00000000">
    <w:pPr>
      <w:spacing w:after="29" w:line="259" w:lineRule="auto"/>
      <w:ind w:left="1795" w:right="0" w:firstLine="0"/>
      <w:jc w:val="left"/>
    </w:pPr>
    <w:r>
      <w:rPr>
        <w:rFonts w:ascii="Calibri" w:eastAsia="Calibri" w:hAnsi="Calibri" w:cs="Calibri"/>
        <w:sz w:val="16"/>
      </w:rPr>
      <w:t>Coordenadoria de Gestão do Conhecimento Institucional – CGCI</w:t>
    </w:r>
  </w:p>
  <w:p w14:paraId="0D67FE2B" w14:textId="77777777" w:rsidR="00257A3E" w:rsidRDefault="00000000">
    <w:pPr>
      <w:spacing w:after="173" w:line="259" w:lineRule="auto"/>
      <w:ind w:left="-97" w:right="0" w:firstLine="0"/>
      <w:jc w:val="left"/>
    </w:pPr>
    <w:r>
      <w:rPr>
        <w:rFonts w:ascii="Calibri" w:eastAsia="Calibri" w:hAnsi="Calibri" w:cs="Calibri"/>
        <w:sz w:val="16"/>
      </w:rPr>
      <w:t>Supervisão de Legislação e Jurisprudência - SLJ Telefone: (61) 3314-2226/2259 e-mail: jurisprudencia@tc.df.gov.br</w:t>
    </w:r>
  </w:p>
  <w:p w14:paraId="698E63AD" w14:textId="77777777" w:rsidR="00257A3E" w:rsidRDefault="00000000">
    <w:pPr>
      <w:spacing w:after="0" w:line="259" w:lineRule="auto"/>
      <w:ind w:left="-583" w:right="0" w:firstLine="0"/>
      <w:jc w:val="left"/>
    </w:pPr>
    <w:r>
      <w:rPr>
        <w:rFonts w:ascii="Calibri" w:eastAsia="Calibri" w:hAnsi="Calibri" w:cs="Calibri"/>
        <w:sz w:val="16"/>
      </w:rPr>
      <w:t>Documento assinado digitalmente. Para verificar as assinaturas, acesse www.tc.df.gov.br/autenticidade e informe o e-DOC 74BB864C</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D5929" w14:textId="77777777" w:rsidR="00257A3E" w:rsidRDefault="00000000">
    <w:pPr>
      <w:spacing w:after="0" w:line="259" w:lineRule="auto"/>
      <w:ind w:left="-140" w:right="487" w:firstLine="0"/>
      <w:jc w:val="right"/>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14:anchorId="1E7B4D3A" wp14:editId="7B4E78F7">
              <wp:simplePos x="0" y="0"/>
              <wp:positionH relativeFrom="page">
                <wp:posOffset>254000</wp:posOffset>
              </wp:positionH>
              <wp:positionV relativeFrom="page">
                <wp:posOffset>9982200</wp:posOffset>
              </wp:positionV>
              <wp:extent cx="6553200" cy="12700"/>
              <wp:effectExtent l="0" t="0" r="0" b="0"/>
              <wp:wrapSquare wrapText="bothSides"/>
              <wp:docPr id="14720" name="Group 14720"/>
              <wp:cNvGraphicFramePr/>
              <a:graphic xmlns:a="http://schemas.openxmlformats.org/drawingml/2006/main">
                <a:graphicData uri="http://schemas.microsoft.com/office/word/2010/wordprocessingGroup">
                  <wpg:wgp>
                    <wpg:cNvGrpSpPr/>
                    <wpg:grpSpPr>
                      <a:xfrm>
                        <a:off x="0" y="0"/>
                        <a:ext cx="6553200" cy="12700"/>
                        <a:chOff x="0" y="0"/>
                        <a:chExt cx="6553200" cy="12700"/>
                      </a:xfrm>
                    </wpg:grpSpPr>
                    <wps:wsp>
                      <wps:cNvPr id="14721" name="Shape 14721"/>
                      <wps:cNvSpPr/>
                      <wps:spPr>
                        <a:xfrm>
                          <a:off x="0" y="0"/>
                          <a:ext cx="6553200" cy="0"/>
                        </a:xfrm>
                        <a:custGeom>
                          <a:avLst/>
                          <a:gdLst/>
                          <a:ahLst/>
                          <a:cxnLst/>
                          <a:rect l="0" t="0" r="0" b="0"/>
                          <a:pathLst>
                            <a:path w="6553200">
                              <a:moveTo>
                                <a:pt x="0" y="0"/>
                              </a:moveTo>
                              <a:lnTo>
                                <a:pt x="6553200" y="0"/>
                              </a:lnTo>
                            </a:path>
                          </a:pathLst>
                        </a:custGeom>
                        <a:ln w="12700" cap="flat">
                          <a:miter lim="127000"/>
                        </a:ln>
                      </wps:spPr>
                      <wps:style>
                        <a:lnRef idx="1">
                          <a:srgbClr val="00608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4720" style="width:516pt;height:1pt;position:absolute;mso-position-horizontal-relative:page;mso-position-horizontal:absolute;margin-left:20pt;mso-position-vertical-relative:page;margin-top:786pt;" coordsize="65532,127">
              <v:shape id="Shape 14721" style="position:absolute;width:65532;height:0;left:0;top:0;" coordsize="6553200,0" path="m0,0l6553200,0">
                <v:stroke weight="1pt" endcap="flat" joinstyle="miter" miterlimit="10" on="true" color="#00608f"/>
                <v:fill on="false" color="#000000" opacity="0"/>
              </v:shape>
              <w10:wrap type="square"/>
            </v:group>
          </w:pict>
        </mc:Fallback>
      </mc:AlternateContent>
    </w:r>
    <w:r>
      <w:rPr>
        <w:rFonts w:ascii="Calibri" w:eastAsia="Calibri" w:hAnsi="Calibri" w:cs="Calibri"/>
        <w:color w:val="00608F"/>
        <w:sz w:val="32"/>
      </w:rPr>
      <w:t xml:space="preserve"> </w:t>
    </w:r>
    <w:r>
      <w:fldChar w:fldCharType="begin"/>
    </w:r>
    <w:r>
      <w:instrText xml:space="preserve"> PAGE   \* MERGEFORMAT </w:instrText>
    </w:r>
    <w:r>
      <w:fldChar w:fldCharType="separate"/>
    </w:r>
    <w:r>
      <w:rPr>
        <w:rFonts w:ascii="Calibri" w:eastAsia="Calibri" w:hAnsi="Calibri" w:cs="Calibri"/>
        <w:color w:val="00608F"/>
        <w:sz w:val="32"/>
      </w:rPr>
      <w:t>1</w:t>
    </w:r>
    <w:r>
      <w:rPr>
        <w:rFonts w:ascii="Calibri" w:eastAsia="Calibri" w:hAnsi="Calibri" w:cs="Calibri"/>
        <w:color w:val="00608F"/>
        <w:sz w:val="32"/>
      </w:rPr>
      <w:fldChar w:fldCharType="end"/>
    </w:r>
  </w:p>
  <w:p w14:paraId="681264D1" w14:textId="77777777" w:rsidR="00257A3E" w:rsidRDefault="00000000">
    <w:pPr>
      <w:spacing w:after="29" w:line="259" w:lineRule="auto"/>
      <w:ind w:left="2435" w:right="0" w:firstLine="0"/>
      <w:jc w:val="left"/>
    </w:pPr>
    <w:r>
      <w:rPr>
        <w:rFonts w:ascii="Calibri" w:eastAsia="Calibri" w:hAnsi="Calibri" w:cs="Calibri"/>
        <w:sz w:val="16"/>
      </w:rPr>
      <w:t>Coordenadoria de Gestão do Conhecimento Institucional – CGCI</w:t>
    </w:r>
  </w:p>
  <w:p w14:paraId="24B2877C" w14:textId="77777777" w:rsidR="00257A3E" w:rsidRDefault="00000000">
    <w:pPr>
      <w:spacing w:after="173" w:line="259" w:lineRule="auto"/>
      <w:ind w:left="543" w:right="0" w:firstLine="0"/>
      <w:jc w:val="left"/>
    </w:pPr>
    <w:r>
      <w:rPr>
        <w:rFonts w:ascii="Calibri" w:eastAsia="Calibri" w:hAnsi="Calibri" w:cs="Calibri"/>
        <w:sz w:val="16"/>
      </w:rPr>
      <w:t>Supervisão de Legislação e Jurisprudência - SLJ Telefone: (61) 3314-2226/2259 e-mail: jurisprudencia@tc.df.gov.br</w:t>
    </w:r>
  </w:p>
  <w:p w14:paraId="7004668D" w14:textId="77777777" w:rsidR="00257A3E" w:rsidRDefault="00000000">
    <w:pPr>
      <w:spacing w:after="0" w:line="259" w:lineRule="auto"/>
      <w:ind w:left="57" w:right="0" w:firstLine="0"/>
      <w:jc w:val="left"/>
    </w:pPr>
    <w:r>
      <w:rPr>
        <w:rFonts w:ascii="Calibri" w:eastAsia="Calibri" w:hAnsi="Calibri" w:cs="Calibri"/>
        <w:sz w:val="16"/>
      </w:rPr>
      <w:t>Documento assinado digitalmente. Para verificar as assinaturas, acesse www.tc.df.gov.br/autenticidade e informe o e-DOC 74BB864C</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B1F50" w14:textId="77777777" w:rsidR="00257A3E" w:rsidRDefault="00000000">
    <w:pPr>
      <w:spacing w:after="0" w:line="259" w:lineRule="auto"/>
      <w:ind w:left="-140" w:right="487" w:firstLine="0"/>
      <w:jc w:val="right"/>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14:anchorId="0C83A634" wp14:editId="318BBFC8">
              <wp:simplePos x="0" y="0"/>
              <wp:positionH relativeFrom="page">
                <wp:posOffset>254000</wp:posOffset>
              </wp:positionH>
              <wp:positionV relativeFrom="page">
                <wp:posOffset>9982200</wp:posOffset>
              </wp:positionV>
              <wp:extent cx="6553200" cy="12700"/>
              <wp:effectExtent l="0" t="0" r="0" b="0"/>
              <wp:wrapSquare wrapText="bothSides"/>
              <wp:docPr id="14689" name="Group 14689"/>
              <wp:cNvGraphicFramePr/>
              <a:graphic xmlns:a="http://schemas.openxmlformats.org/drawingml/2006/main">
                <a:graphicData uri="http://schemas.microsoft.com/office/word/2010/wordprocessingGroup">
                  <wpg:wgp>
                    <wpg:cNvGrpSpPr/>
                    <wpg:grpSpPr>
                      <a:xfrm>
                        <a:off x="0" y="0"/>
                        <a:ext cx="6553200" cy="12700"/>
                        <a:chOff x="0" y="0"/>
                        <a:chExt cx="6553200" cy="12700"/>
                      </a:xfrm>
                    </wpg:grpSpPr>
                    <wps:wsp>
                      <wps:cNvPr id="14690" name="Shape 14690"/>
                      <wps:cNvSpPr/>
                      <wps:spPr>
                        <a:xfrm>
                          <a:off x="0" y="0"/>
                          <a:ext cx="6553200" cy="0"/>
                        </a:xfrm>
                        <a:custGeom>
                          <a:avLst/>
                          <a:gdLst/>
                          <a:ahLst/>
                          <a:cxnLst/>
                          <a:rect l="0" t="0" r="0" b="0"/>
                          <a:pathLst>
                            <a:path w="6553200">
                              <a:moveTo>
                                <a:pt x="0" y="0"/>
                              </a:moveTo>
                              <a:lnTo>
                                <a:pt x="6553200" y="0"/>
                              </a:lnTo>
                            </a:path>
                          </a:pathLst>
                        </a:custGeom>
                        <a:ln w="12700" cap="flat">
                          <a:miter lim="127000"/>
                        </a:ln>
                      </wps:spPr>
                      <wps:style>
                        <a:lnRef idx="1">
                          <a:srgbClr val="00608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4689" style="width:516pt;height:1pt;position:absolute;mso-position-horizontal-relative:page;mso-position-horizontal:absolute;margin-left:20pt;mso-position-vertical-relative:page;margin-top:786pt;" coordsize="65532,127">
              <v:shape id="Shape 14690" style="position:absolute;width:65532;height:0;left:0;top:0;" coordsize="6553200,0" path="m0,0l6553200,0">
                <v:stroke weight="1pt" endcap="flat" joinstyle="miter" miterlimit="10" on="true" color="#00608f"/>
                <v:fill on="false" color="#000000" opacity="0"/>
              </v:shape>
              <w10:wrap type="square"/>
            </v:group>
          </w:pict>
        </mc:Fallback>
      </mc:AlternateContent>
    </w:r>
    <w:r>
      <w:rPr>
        <w:rFonts w:ascii="Calibri" w:eastAsia="Calibri" w:hAnsi="Calibri" w:cs="Calibri"/>
        <w:color w:val="00608F"/>
        <w:sz w:val="32"/>
      </w:rPr>
      <w:t xml:space="preserve"> </w:t>
    </w:r>
    <w:r>
      <w:fldChar w:fldCharType="begin"/>
    </w:r>
    <w:r>
      <w:instrText xml:space="preserve"> PAGE   \* MERGEFORMAT </w:instrText>
    </w:r>
    <w:r>
      <w:fldChar w:fldCharType="separate"/>
    </w:r>
    <w:r>
      <w:rPr>
        <w:rFonts w:ascii="Calibri" w:eastAsia="Calibri" w:hAnsi="Calibri" w:cs="Calibri"/>
        <w:color w:val="00608F"/>
        <w:sz w:val="32"/>
      </w:rPr>
      <w:t>1</w:t>
    </w:r>
    <w:r>
      <w:rPr>
        <w:rFonts w:ascii="Calibri" w:eastAsia="Calibri" w:hAnsi="Calibri" w:cs="Calibri"/>
        <w:color w:val="00608F"/>
        <w:sz w:val="32"/>
      </w:rPr>
      <w:fldChar w:fldCharType="end"/>
    </w:r>
  </w:p>
  <w:p w14:paraId="4CAD20CB" w14:textId="77777777" w:rsidR="00257A3E" w:rsidRDefault="00000000">
    <w:pPr>
      <w:spacing w:after="29" w:line="259" w:lineRule="auto"/>
      <w:ind w:left="2435" w:right="0" w:firstLine="0"/>
      <w:jc w:val="left"/>
    </w:pPr>
    <w:r>
      <w:rPr>
        <w:rFonts w:ascii="Calibri" w:eastAsia="Calibri" w:hAnsi="Calibri" w:cs="Calibri"/>
        <w:sz w:val="16"/>
      </w:rPr>
      <w:t>Coordenadoria de Gestão do Conhecimento Institucional – CGCI</w:t>
    </w:r>
  </w:p>
  <w:p w14:paraId="28CFF8B2" w14:textId="77777777" w:rsidR="00257A3E" w:rsidRDefault="00000000">
    <w:pPr>
      <w:spacing w:after="173" w:line="259" w:lineRule="auto"/>
      <w:ind w:left="543" w:right="0" w:firstLine="0"/>
      <w:jc w:val="left"/>
    </w:pPr>
    <w:r>
      <w:rPr>
        <w:rFonts w:ascii="Calibri" w:eastAsia="Calibri" w:hAnsi="Calibri" w:cs="Calibri"/>
        <w:sz w:val="16"/>
      </w:rPr>
      <w:t>Supervisão de Legislação e Jurisprudência - SLJ Telefone: (61) 3314-2226/2259 e-mail: jurisprudencia@tc.df.gov.br</w:t>
    </w:r>
  </w:p>
  <w:p w14:paraId="4D847C2F" w14:textId="77777777" w:rsidR="00257A3E" w:rsidRDefault="00000000">
    <w:pPr>
      <w:spacing w:after="0" w:line="259" w:lineRule="auto"/>
      <w:ind w:left="57" w:right="0" w:firstLine="0"/>
      <w:jc w:val="left"/>
    </w:pPr>
    <w:r>
      <w:rPr>
        <w:rFonts w:ascii="Calibri" w:eastAsia="Calibri" w:hAnsi="Calibri" w:cs="Calibri"/>
        <w:sz w:val="16"/>
      </w:rPr>
      <w:t>Documento assinado digitalmente. Para verificar as assinaturas, acesse www.tc.df.gov.br/autenticidade e informe o e-DOC 74BB864C</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07593" w14:textId="77777777" w:rsidR="00257A3E" w:rsidRDefault="00000000">
    <w:pPr>
      <w:spacing w:after="0" w:line="259" w:lineRule="auto"/>
      <w:ind w:left="-140" w:right="487" w:firstLine="0"/>
      <w:jc w:val="right"/>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14:anchorId="5949198C" wp14:editId="6465EB0C">
              <wp:simplePos x="0" y="0"/>
              <wp:positionH relativeFrom="page">
                <wp:posOffset>254000</wp:posOffset>
              </wp:positionH>
              <wp:positionV relativeFrom="page">
                <wp:posOffset>9982200</wp:posOffset>
              </wp:positionV>
              <wp:extent cx="6553200" cy="12700"/>
              <wp:effectExtent l="0" t="0" r="0" b="0"/>
              <wp:wrapSquare wrapText="bothSides"/>
              <wp:docPr id="14658" name="Group 14658"/>
              <wp:cNvGraphicFramePr/>
              <a:graphic xmlns:a="http://schemas.openxmlformats.org/drawingml/2006/main">
                <a:graphicData uri="http://schemas.microsoft.com/office/word/2010/wordprocessingGroup">
                  <wpg:wgp>
                    <wpg:cNvGrpSpPr/>
                    <wpg:grpSpPr>
                      <a:xfrm>
                        <a:off x="0" y="0"/>
                        <a:ext cx="6553200" cy="12700"/>
                        <a:chOff x="0" y="0"/>
                        <a:chExt cx="6553200" cy="12700"/>
                      </a:xfrm>
                    </wpg:grpSpPr>
                    <wps:wsp>
                      <wps:cNvPr id="14659" name="Shape 14659"/>
                      <wps:cNvSpPr/>
                      <wps:spPr>
                        <a:xfrm>
                          <a:off x="0" y="0"/>
                          <a:ext cx="6553200" cy="0"/>
                        </a:xfrm>
                        <a:custGeom>
                          <a:avLst/>
                          <a:gdLst/>
                          <a:ahLst/>
                          <a:cxnLst/>
                          <a:rect l="0" t="0" r="0" b="0"/>
                          <a:pathLst>
                            <a:path w="6553200">
                              <a:moveTo>
                                <a:pt x="0" y="0"/>
                              </a:moveTo>
                              <a:lnTo>
                                <a:pt x="6553200" y="0"/>
                              </a:lnTo>
                            </a:path>
                          </a:pathLst>
                        </a:custGeom>
                        <a:ln w="12700" cap="flat">
                          <a:miter lim="127000"/>
                        </a:ln>
                      </wps:spPr>
                      <wps:style>
                        <a:lnRef idx="1">
                          <a:srgbClr val="00608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4658" style="width:516pt;height:1pt;position:absolute;mso-position-horizontal-relative:page;mso-position-horizontal:absolute;margin-left:20pt;mso-position-vertical-relative:page;margin-top:786pt;" coordsize="65532,127">
              <v:shape id="Shape 14659" style="position:absolute;width:65532;height:0;left:0;top:0;" coordsize="6553200,0" path="m0,0l6553200,0">
                <v:stroke weight="1pt" endcap="flat" joinstyle="miter" miterlimit="10" on="true" color="#00608f"/>
                <v:fill on="false" color="#000000" opacity="0"/>
              </v:shape>
              <w10:wrap type="square"/>
            </v:group>
          </w:pict>
        </mc:Fallback>
      </mc:AlternateContent>
    </w:r>
    <w:r>
      <w:rPr>
        <w:rFonts w:ascii="Calibri" w:eastAsia="Calibri" w:hAnsi="Calibri" w:cs="Calibri"/>
        <w:color w:val="00608F"/>
        <w:sz w:val="32"/>
      </w:rPr>
      <w:t xml:space="preserve"> </w:t>
    </w:r>
    <w:r>
      <w:fldChar w:fldCharType="begin"/>
    </w:r>
    <w:r>
      <w:instrText xml:space="preserve"> PAGE   \* MERGEFORMAT </w:instrText>
    </w:r>
    <w:r>
      <w:fldChar w:fldCharType="separate"/>
    </w:r>
    <w:r>
      <w:rPr>
        <w:rFonts w:ascii="Calibri" w:eastAsia="Calibri" w:hAnsi="Calibri" w:cs="Calibri"/>
        <w:color w:val="00608F"/>
        <w:sz w:val="32"/>
      </w:rPr>
      <w:t>1</w:t>
    </w:r>
    <w:r>
      <w:rPr>
        <w:rFonts w:ascii="Calibri" w:eastAsia="Calibri" w:hAnsi="Calibri" w:cs="Calibri"/>
        <w:color w:val="00608F"/>
        <w:sz w:val="32"/>
      </w:rPr>
      <w:fldChar w:fldCharType="end"/>
    </w:r>
  </w:p>
  <w:p w14:paraId="003B6F22" w14:textId="77777777" w:rsidR="00257A3E" w:rsidRDefault="00000000">
    <w:pPr>
      <w:spacing w:after="29" w:line="259" w:lineRule="auto"/>
      <w:ind w:left="2435" w:right="0" w:firstLine="0"/>
      <w:jc w:val="left"/>
    </w:pPr>
    <w:r>
      <w:rPr>
        <w:rFonts w:ascii="Calibri" w:eastAsia="Calibri" w:hAnsi="Calibri" w:cs="Calibri"/>
        <w:sz w:val="16"/>
      </w:rPr>
      <w:t>Coordenadoria de Gestão do Conhecimento Institucional – CGCI</w:t>
    </w:r>
  </w:p>
  <w:p w14:paraId="03231FF5" w14:textId="77777777" w:rsidR="00257A3E" w:rsidRDefault="00000000">
    <w:pPr>
      <w:spacing w:after="173" w:line="259" w:lineRule="auto"/>
      <w:ind w:left="543" w:right="0" w:firstLine="0"/>
      <w:jc w:val="left"/>
    </w:pPr>
    <w:r>
      <w:rPr>
        <w:rFonts w:ascii="Calibri" w:eastAsia="Calibri" w:hAnsi="Calibri" w:cs="Calibri"/>
        <w:sz w:val="16"/>
      </w:rPr>
      <w:t>Supervisão de Legislação e Jurisprudência - SLJ Telefone: (61) 3314-2226/2259 e-mail: jurisprudencia@tc.df.gov.br</w:t>
    </w:r>
  </w:p>
  <w:p w14:paraId="758D9ABF" w14:textId="77777777" w:rsidR="00257A3E" w:rsidRDefault="00000000">
    <w:pPr>
      <w:spacing w:after="0" w:line="259" w:lineRule="auto"/>
      <w:ind w:left="57" w:right="0" w:firstLine="0"/>
      <w:jc w:val="left"/>
    </w:pPr>
    <w:r>
      <w:rPr>
        <w:rFonts w:ascii="Calibri" w:eastAsia="Calibri" w:hAnsi="Calibri" w:cs="Calibri"/>
        <w:sz w:val="16"/>
      </w:rPr>
      <w:t>Documento assinado digitalmente. Para verificar as assinaturas, acesse www.tc.df.gov.br/autenticidade e informe o e-DOC 74BB864C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12FA5" w14:textId="77777777" w:rsidR="00AD375B" w:rsidRDefault="00AD375B">
      <w:pPr>
        <w:spacing w:after="0" w:line="240" w:lineRule="auto"/>
      </w:pPr>
      <w:r>
        <w:separator/>
      </w:r>
    </w:p>
  </w:footnote>
  <w:footnote w:type="continuationSeparator" w:id="0">
    <w:p w14:paraId="665877BC" w14:textId="77777777" w:rsidR="00AD375B" w:rsidRDefault="00AD37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1EF14" w14:textId="77777777" w:rsidR="00257A3E" w:rsidRDefault="00000000">
    <w:pPr>
      <w:spacing w:after="305" w:line="261" w:lineRule="auto"/>
      <w:ind w:left="9073" w:right="-293" w:firstLine="0"/>
      <w:jc w:val="right"/>
    </w:pPr>
    <w:r>
      <w:rPr>
        <w:rFonts w:ascii="Calibri" w:eastAsia="Calibri" w:hAnsi="Calibri" w:cs="Calibri"/>
        <w:color w:val="0000FF"/>
        <w:sz w:val="16"/>
      </w:rPr>
      <w:t>e-DOC 74BB864C Proc 00600-00013378/2025-61-e</w:t>
    </w:r>
  </w:p>
  <w:p w14:paraId="46DD951A" w14:textId="77777777" w:rsidR="00257A3E" w:rsidRDefault="00000000">
    <w:pPr>
      <w:spacing w:after="3" w:line="259" w:lineRule="auto"/>
      <w:ind w:left="0" w:right="-57" w:firstLine="0"/>
      <w:jc w:val="right"/>
    </w:pPr>
    <w:r>
      <w:rPr>
        <w:b/>
        <w:sz w:val="20"/>
      </w:rPr>
      <w:t xml:space="preserve"> </w:t>
    </w:r>
  </w:p>
  <w:p w14:paraId="3DADE12F" w14:textId="77777777" w:rsidR="00257A3E" w:rsidRDefault="00000000">
    <w:pPr>
      <w:spacing w:after="0" w:line="259" w:lineRule="auto"/>
      <w:ind w:left="0" w:right="-57" w:firstLine="0"/>
      <w:jc w:val="right"/>
    </w:pPr>
    <w:r>
      <w:rPr>
        <w:b/>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381E2" w14:textId="77777777" w:rsidR="00257A3E" w:rsidRDefault="00000000">
    <w:pPr>
      <w:spacing w:after="305" w:line="261" w:lineRule="auto"/>
      <w:ind w:left="9073" w:right="-293" w:firstLine="0"/>
      <w:jc w:val="right"/>
    </w:pPr>
    <w:r>
      <w:rPr>
        <w:rFonts w:ascii="Calibri" w:eastAsia="Calibri" w:hAnsi="Calibri" w:cs="Calibri"/>
        <w:color w:val="0000FF"/>
        <w:sz w:val="16"/>
      </w:rPr>
      <w:t>e-DOC 74BB864C Proc 00600-00013378/2025-61-e</w:t>
    </w:r>
  </w:p>
  <w:p w14:paraId="518A6775" w14:textId="77777777" w:rsidR="00257A3E" w:rsidRDefault="00000000">
    <w:pPr>
      <w:spacing w:after="3" w:line="259" w:lineRule="auto"/>
      <w:ind w:left="0" w:right="-57" w:firstLine="0"/>
      <w:jc w:val="right"/>
    </w:pPr>
    <w:r>
      <w:rPr>
        <w:b/>
        <w:sz w:val="20"/>
      </w:rPr>
      <w:t xml:space="preserve"> </w:t>
    </w:r>
  </w:p>
  <w:p w14:paraId="45AFE1B9" w14:textId="77777777" w:rsidR="00257A3E" w:rsidRDefault="00000000">
    <w:pPr>
      <w:spacing w:after="0" w:line="259" w:lineRule="auto"/>
      <w:ind w:left="0" w:right="-57" w:firstLine="0"/>
      <w:jc w:val="right"/>
    </w:pPr>
    <w:r>
      <w:rPr>
        <w:b/>
        <w:sz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C686C" w14:textId="77777777" w:rsidR="00257A3E" w:rsidRDefault="00000000">
    <w:pPr>
      <w:spacing w:after="0" w:line="261" w:lineRule="auto"/>
      <w:ind w:left="9073" w:right="-293" w:firstLine="0"/>
      <w:jc w:val="right"/>
    </w:pPr>
    <w:r>
      <w:rPr>
        <w:rFonts w:ascii="Calibri" w:eastAsia="Calibri" w:hAnsi="Calibri" w:cs="Calibri"/>
        <w:color w:val="0000FF"/>
        <w:sz w:val="16"/>
      </w:rPr>
      <w:t>e-DOC 74BB864C Proc 00600-00013378/2025-61-e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B8F39" w14:textId="77777777" w:rsidR="00257A3E" w:rsidRDefault="00000000">
    <w:pPr>
      <w:spacing w:after="94" w:line="259" w:lineRule="auto"/>
      <w:ind w:left="-780" w:right="-300" w:firstLine="0"/>
    </w:pPr>
    <w:r>
      <w:rPr>
        <w:rFonts w:ascii="Calibri" w:eastAsia="Calibri" w:hAnsi="Calibri" w:cs="Calibri"/>
        <w:color w:val="0000FF"/>
        <w:sz w:val="16"/>
      </w:rPr>
      <w:t>e-DOC 74BB864C</w:t>
    </w:r>
  </w:p>
  <w:p w14:paraId="2A027A8A" w14:textId="77777777" w:rsidR="00257A3E" w:rsidRDefault="00000000">
    <w:pPr>
      <w:tabs>
        <w:tab w:val="right" w:pos="10690"/>
      </w:tabs>
      <w:spacing w:after="0" w:line="259" w:lineRule="auto"/>
      <w:ind w:left="-780" w:right="-300" w:firstLine="0"/>
      <w:jc w:val="left"/>
    </w:pPr>
    <w:r>
      <w:rPr>
        <w:rFonts w:ascii="Calibri" w:eastAsia="Calibri" w:hAnsi="Calibri" w:cs="Calibri"/>
        <w:b/>
        <w:color w:val="1D9955"/>
        <w:sz w:val="26"/>
      </w:rPr>
      <w:t>Pessoal</w:t>
    </w:r>
    <w:r>
      <w:rPr>
        <w:rFonts w:ascii="Calibri" w:eastAsia="Calibri" w:hAnsi="Calibri" w:cs="Calibri"/>
        <w:b/>
        <w:color w:val="1D9955"/>
        <w:sz w:val="26"/>
      </w:rPr>
      <w:tab/>
    </w:r>
    <w:r>
      <w:rPr>
        <w:rFonts w:ascii="Calibri" w:eastAsia="Calibri" w:hAnsi="Calibri" w:cs="Calibri"/>
        <w:color w:val="0000FF"/>
        <w:sz w:val="16"/>
      </w:rPr>
      <w:t>Proc 00600-00013378/2025-61-e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4D0BC" w14:textId="77777777" w:rsidR="00257A3E" w:rsidRDefault="00000000">
    <w:pPr>
      <w:spacing w:after="94" w:line="259" w:lineRule="auto"/>
      <w:ind w:left="-780" w:right="-300" w:firstLine="0"/>
    </w:pPr>
    <w:r>
      <w:rPr>
        <w:rFonts w:ascii="Calibri" w:eastAsia="Calibri" w:hAnsi="Calibri" w:cs="Calibri"/>
        <w:color w:val="0000FF"/>
        <w:sz w:val="16"/>
      </w:rPr>
      <w:t>e-DOC 74BB864C</w:t>
    </w:r>
  </w:p>
  <w:p w14:paraId="3938A007" w14:textId="77777777" w:rsidR="00257A3E" w:rsidRDefault="00000000">
    <w:pPr>
      <w:tabs>
        <w:tab w:val="right" w:pos="10690"/>
      </w:tabs>
      <w:spacing w:after="225" w:line="259" w:lineRule="auto"/>
      <w:ind w:left="-780" w:right="-300" w:firstLine="0"/>
      <w:jc w:val="left"/>
    </w:pPr>
    <w:r>
      <w:rPr>
        <w:rFonts w:ascii="Calibri" w:eastAsia="Calibri" w:hAnsi="Calibri" w:cs="Calibri"/>
        <w:b/>
        <w:color w:val="1D9955"/>
        <w:sz w:val="26"/>
      </w:rPr>
      <w:t>Pessoal</w:t>
    </w:r>
    <w:r>
      <w:rPr>
        <w:rFonts w:ascii="Calibri" w:eastAsia="Calibri" w:hAnsi="Calibri" w:cs="Calibri"/>
        <w:b/>
        <w:color w:val="1D9955"/>
        <w:sz w:val="26"/>
      </w:rPr>
      <w:tab/>
    </w:r>
    <w:r>
      <w:rPr>
        <w:rFonts w:ascii="Calibri" w:eastAsia="Calibri" w:hAnsi="Calibri" w:cs="Calibri"/>
        <w:color w:val="0000FF"/>
        <w:sz w:val="16"/>
      </w:rPr>
      <w:t>Proc 00600-00013378/2025-61-e</w:t>
    </w:r>
  </w:p>
  <w:p w14:paraId="4C5FFD51" w14:textId="77777777" w:rsidR="00257A3E" w:rsidRDefault="00000000">
    <w:pPr>
      <w:spacing w:after="3" w:line="259" w:lineRule="auto"/>
      <w:ind w:left="0" w:right="-64" w:firstLine="0"/>
      <w:jc w:val="right"/>
    </w:pPr>
    <w:r>
      <w:rPr>
        <w:b/>
        <w:sz w:val="20"/>
      </w:rPr>
      <w:t xml:space="preserve"> </w:t>
    </w:r>
  </w:p>
  <w:p w14:paraId="1985DEED" w14:textId="77777777" w:rsidR="00257A3E" w:rsidRDefault="00000000">
    <w:pPr>
      <w:spacing w:after="0" w:line="259" w:lineRule="auto"/>
      <w:ind w:left="0" w:right="-63" w:firstLine="0"/>
      <w:jc w:val="right"/>
    </w:pPr>
    <w:r>
      <w:rPr>
        <w:b/>
        <w:sz w:val="20"/>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39961" w14:textId="77777777" w:rsidR="00257A3E" w:rsidRDefault="00000000">
    <w:pPr>
      <w:spacing w:after="94" w:line="259" w:lineRule="auto"/>
      <w:ind w:left="-780" w:right="-300" w:firstLine="0"/>
    </w:pPr>
    <w:r>
      <w:rPr>
        <w:rFonts w:ascii="Calibri" w:eastAsia="Calibri" w:hAnsi="Calibri" w:cs="Calibri"/>
        <w:color w:val="0000FF"/>
        <w:sz w:val="16"/>
      </w:rPr>
      <w:t>e-DOC 74BB864C</w:t>
    </w:r>
  </w:p>
  <w:p w14:paraId="70AFDA7A" w14:textId="77777777" w:rsidR="00257A3E" w:rsidRDefault="00000000">
    <w:pPr>
      <w:tabs>
        <w:tab w:val="right" w:pos="10690"/>
      </w:tabs>
      <w:spacing w:after="0" w:line="259" w:lineRule="auto"/>
      <w:ind w:left="-780" w:right="-300" w:firstLine="0"/>
      <w:jc w:val="left"/>
    </w:pPr>
    <w:r>
      <w:rPr>
        <w:rFonts w:ascii="Calibri" w:eastAsia="Calibri" w:hAnsi="Calibri" w:cs="Calibri"/>
        <w:b/>
        <w:color w:val="1D9955"/>
        <w:sz w:val="26"/>
      </w:rPr>
      <w:t>Pessoal</w:t>
    </w:r>
    <w:r>
      <w:rPr>
        <w:rFonts w:ascii="Calibri" w:eastAsia="Calibri" w:hAnsi="Calibri" w:cs="Calibri"/>
        <w:b/>
        <w:color w:val="1D9955"/>
        <w:sz w:val="26"/>
      </w:rPr>
      <w:tab/>
    </w:r>
    <w:r>
      <w:rPr>
        <w:rFonts w:ascii="Calibri" w:eastAsia="Calibri" w:hAnsi="Calibri" w:cs="Calibri"/>
        <w:color w:val="0000FF"/>
        <w:sz w:val="16"/>
      </w:rPr>
      <w:t>Proc 00600-00013378/2025-61-e</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42554" w14:textId="77777777" w:rsidR="00257A3E" w:rsidRDefault="00000000">
    <w:pPr>
      <w:spacing w:after="87" w:line="259" w:lineRule="auto"/>
      <w:ind w:left="-140" w:right="-217" w:firstLine="0"/>
    </w:pPr>
    <w:r>
      <w:rPr>
        <w:rFonts w:ascii="Calibri" w:eastAsia="Calibri" w:hAnsi="Calibri" w:cs="Calibri"/>
        <w:color w:val="0000FF"/>
        <w:sz w:val="16"/>
      </w:rPr>
      <w:t>e-DOC 74BB864C</w:t>
    </w:r>
  </w:p>
  <w:p w14:paraId="54B8D703" w14:textId="77777777" w:rsidR="00257A3E" w:rsidRDefault="00000000">
    <w:pPr>
      <w:tabs>
        <w:tab w:val="right" w:pos="11330"/>
      </w:tabs>
      <w:spacing w:after="0" w:line="259" w:lineRule="auto"/>
      <w:ind w:left="-140" w:right="-217" w:firstLine="0"/>
      <w:jc w:val="left"/>
    </w:pPr>
    <w:r>
      <w:rPr>
        <w:rFonts w:ascii="Calibri" w:eastAsia="Calibri" w:hAnsi="Calibri" w:cs="Calibri"/>
        <w:b/>
        <w:color w:val="389EB8"/>
        <w:sz w:val="26"/>
      </w:rPr>
      <w:t>Processual</w:t>
    </w:r>
    <w:r>
      <w:rPr>
        <w:rFonts w:ascii="Calibri" w:eastAsia="Calibri" w:hAnsi="Calibri" w:cs="Calibri"/>
        <w:b/>
        <w:color w:val="389EB8"/>
        <w:sz w:val="26"/>
      </w:rPr>
      <w:tab/>
    </w:r>
    <w:r>
      <w:rPr>
        <w:rFonts w:ascii="Calibri" w:eastAsia="Calibri" w:hAnsi="Calibri" w:cs="Calibri"/>
        <w:color w:val="0000FF"/>
        <w:sz w:val="16"/>
      </w:rPr>
      <w:t>Proc 00600-00013378/2025-61-e</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D9769" w14:textId="77777777" w:rsidR="00257A3E" w:rsidRDefault="00000000">
    <w:pPr>
      <w:spacing w:after="87" w:line="259" w:lineRule="auto"/>
      <w:ind w:left="-140" w:right="-217" w:firstLine="0"/>
    </w:pPr>
    <w:r>
      <w:rPr>
        <w:rFonts w:ascii="Calibri" w:eastAsia="Calibri" w:hAnsi="Calibri" w:cs="Calibri"/>
        <w:color w:val="0000FF"/>
        <w:sz w:val="16"/>
      </w:rPr>
      <w:t>e-DOC 74BB864C</w:t>
    </w:r>
  </w:p>
  <w:p w14:paraId="28B67E66" w14:textId="77777777" w:rsidR="00257A3E" w:rsidRDefault="00000000">
    <w:pPr>
      <w:tabs>
        <w:tab w:val="right" w:pos="11330"/>
      </w:tabs>
      <w:spacing w:after="0" w:line="259" w:lineRule="auto"/>
      <w:ind w:left="-140" w:right="-217" w:firstLine="0"/>
      <w:jc w:val="left"/>
    </w:pPr>
    <w:r>
      <w:rPr>
        <w:rFonts w:ascii="Calibri" w:eastAsia="Calibri" w:hAnsi="Calibri" w:cs="Calibri"/>
        <w:b/>
        <w:color w:val="389EB8"/>
        <w:sz w:val="26"/>
      </w:rPr>
      <w:t>Processual</w:t>
    </w:r>
    <w:r>
      <w:rPr>
        <w:rFonts w:ascii="Calibri" w:eastAsia="Calibri" w:hAnsi="Calibri" w:cs="Calibri"/>
        <w:b/>
        <w:color w:val="389EB8"/>
        <w:sz w:val="26"/>
      </w:rPr>
      <w:tab/>
    </w:r>
    <w:r>
      <w:rPr>
        <w:rFonts w:ascii="Calibri" w:eastAsia="Calibri" w:hAnsi="Calibri" w:cs="Calibri"/>
        <w:color w:val="0000FF"/>
        <w:sz w:val="16"/>
      </w:rPr>
      <w:t>Proc 00600-00013378/2025-61-e</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FCB3D" w14:textId="77777777" w:rsidR="00257A3E" w:rsidRDefault="00000000">
    <w:pPr>
      <w:spacing w:after="87" w:line="259" w:lineRule="auto"/>
      <w:ind w:left="-140" w:right="-217" w:firstLine="0"/>
    </w:pPr>
    <w:r>
      <w:rPr>
        <w:rFonts w:ascii="Calibri" w:eastAsia="Calibri" w:hAnsi="Calibri" w:cs="Calibri"/>
        <w:color w:val="0000FF"/>
        <w:sz w:val="16"/>
      </w:rPr>
      <w:t>e-DOC 74BB864C</w:t>
    </w:r>
  </w:p>
  <w:p w14:paraId="3F649F54" w14:textId="77777777" w:rsidR="00257A3E" w:rsidRDefault="00000000">
    <w:pPr>
      <w:tabs>
        <w:tab w:val="right" w:pos="11330"/>
      </w:tabs>
      <w:spacing w:after="216" w:line="259" w:lineRule="auto"/>
      <w:ind w:left="-140" w:right="-217" w:firstLine="0"/>
      <w:jc w:val="left"/>
    </w:pPr>
    <w:r>
      <w:rPr>
        <w:rFonts w:ascii="Calibri" w:eastAsia="Calibri" w:hAnsi="Calibri" w:cs="Calibri"/>
        <w:b/>
        <w:color w:val="389EB8"/>
        <w:sz w:val="26"/>
      </w:rPr>
      <w:t>Processual</w:t>
    </w:r>
    <w:r>
      <w:rPr>
        <w:rFonts w:ascii="Calibri" w:eastAsia="Calibri" w:hAnsi="Calibri" w:cs="Calibri"/>
        <w:b/>
        <w:color w:val="389EB8"/>
        <w:sz w:val="26"/>
      </w:rPr>
      <w:tab/>
    </w:r>
    <w:r>
      <w:rPr>
        <w:rFonts w:ascii="Calibri" w:eastAsia="Calibri" w:hAnsi="Calibri" w:cs="Calibri"/>
        <w:color w:val="0000FF"/>
        <w:sz w:val="16"/>
      </w:rPr>
      <w:t>Proc 00600-00013378/2025-61-e</w:t>
    </w:r>
  </w:p>
  <w:p w14:paraId="12412DE3" w14:textId="77777777" w:rsidR="00257A3E" w:rsidRDefault="00000000">
    <w:pPr>
      <w:spacing w:after="3" w:line="259" w:lineRule="auto"/>
      <w:ind w:left="0" w:right="28" w:firstLine="0"/>
      <w:jc w:val="right"/>
    </w:pPr>
    <w:r>
      <w:rPr>
        <w:b/>
        <w:sz w:val="20"/>
      </w:rPr>
      <w:t xml:space="preserve"> </w:t>
    </w:r>
  </w:p>
  <w:p w14:paraId="698A252B" w14:textId="77777777" w:rsidR="00257A3E" w:rsidRDefault="00000000">
    <w:pPr>
      <w:spacing w:after="0" w:line="259" w:lineRule="auto"/>
      <w:ind w:left="0" w:right="28" w:firstLine="0"/>
      <w:jc w:val="right"/>
    </w:pPr>
    <w:r>
      <w:rPr>
        <w:b/>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404B62"/>
    <w:multiLevelType w:val="hybridMultilevel"/>
    <w:tmpl w:val="5E7657A4"/>
    <w:lvl w:ilvl="0" w:tplc="864A2FD2">
      <w:start w:val="10"/>
      <w:numFmt w:val="decimal"/>
      <w:lvlText w:val="%1"/>
      <w:lvlJc w:val="left"/>
      <w:pPr>
        <w:ind w:left="1168"/>
      </w:pPr>
      <w:rPr>
        <w:rFonts w:ascii="Calibri" w:eastAsia="Calibri" w:hAnsi="Calibri" w:cs="Calibri"/>
        <w:b w:val="0"/>
        <w:i w:val="0"/>
        <w:strike w:val="0"/>
        <w:dstrike w:val="0"/>
        <w:color w:val="1D9955"/>
        <w:sz w:val="36"/>
        <w:szCs w:val="36"/>
        <w:u w:val="none" w:color="000000"/>
        <w:bdr w:val="none" w:sz="0" w:space="0" w:color="auto"/>
        <w:shd w:val="clear" w:color="auto" w:fill="auto"/>
        <w:vertAlign w:val="baseline"/>
      </w:rPr>
    </w:lvl>
    <w:lvl w:ilvl="1" w:tplc="ECEA6144">
      <w:start w:val="1"/>
      <w:numFmt w:val="lowerLetter"/>
      <w:lvlText w:val="%2"/>
      <w:lvlJc w:val="left"/>
      <w:pPr>
        <w:ind w:left="1220"/>
      </w:pPr>
      <w:rPr>
        <w:rFonts w:ascii="Calibri" w:eastAsia="Calibri" w:hAnsi="Calibri" w:cs="Calibri"/>
        <w:b w:val="0"/>
        <w:i w:val="0"/>
        <w:strike w:val="0"/>
        <w:dstrike w:val="0"/>
        <w:color w:val="1D9955"/>
        <w:sz w:val="36"/>
        <w:szCs w:val="36"/>
        <w:u w:val="none" w:color="000000"/>
        <w:bdr w:val="none" w:sz="0" w:space="0" w:color="auto"/>
        <w:shd w:val="clear" w:color="auto" w:fill="auto"/>
        <w:vertAlign w:val="baseline"/>
      </w:rPr>
    </w:lvl>
    <w:lvl w:ilvl="2" w:tplc="F82C477C">
      <w:start w:val="1"/>
      <w:numFmt w:val="lowerRoman"/>
      <w:lvlText w:val="%3"/>
      <w:lvlJc w:val="left"/>
      <w:pPr>
        <w:ind w:left="1940"/>
      </w:pPr>
      <w:rPr>
        <w:rFonts w:ascii="Calibri" w:eastAsia="Calibri" w:hAnsi="Calibri" w:cs="Calibri"/>
        <w:b w:val="0"/>
        <w:i w:val="0"/>
        <w:strike w:val="0"/>
        <w:dstrike w:val="0"/>
        <w:color w:val="1D9955"/>
        <w:sz w:val="36"/>
        <w:szCs w:val="36"/>
        <w:u w:val="none" w:color="000000"/>
        <w:bdr w:val="none" w:sz="0" w:space="0" w:color="auto"/>
        <w:shd w:val="clear" w:color="auto" w:fill="auto"/>
        <w:vertAlign w:val="baseline"/>
      </w:rPr>
    </w:lvl>
    <w:lvl w:ilvl="3" w:tplc="EE3E4510">
      <w:start w:val="1"/>
      <w:numFmt w:val="decimal"/>
      <w:lvlText w:val="%4"/>
      <w:lvlJc w:val="left"/>
      <w:pPr>
        <w:ind w:left="2660"/>
      </w:pPr>
      <w:rPr>
        <w:rFonts w:ascii="Calibri" w:eastAsia="Calibri" w:hAnsi="Calibri" w:cs="Calibri"/>
        <w:b w:val="0"/>
        <w:i w:val="0"/>
        <w:strike w:val="0"/>
        <w:dstrike w:val="0"/>
        <w:color w:val="1D9955"/>
        <w:sz w:val="36"/>
        <w:szCs w:val="36"/>
        <w:u w:val="none" w:color="000000"/>
        <w:bdr w:val="none" w:sz="0" w:space="0" w:color="auto"/>
        <w:shd w:val="clear" w:color="auto" w:fill="auto"/>
        <w:vertAlign w:val="baseline"/>
      </w:rPr>
    </w:lvl>
    <w:lvl w:ilvl="4" w:tplc="FB8CF796">
      <w:start w:val="1"/>
      <w:numFmt w:val="lowerLetter"/>
      <w:lvlText w:val="%5"/>
      <w:lvlJc w:val="left"/>
      <w:pPr>
        <w:ind w:left="3380"/>
      </w:pPr>
      <w:rPr>
        <w:rFonts w:ascii="Calibri" w:eastAsia="Calibri" w:hAnsi="Calibri" w:cs="Calibri"/>
        <w:b w:val="0"/>
        <w:i w:val="0"/>
        <w:strike w:val="0"/>
        <w:dstrike w:val="0"/>
        <w:color w:val="1D9955"/>
        <w:sz w:val="36"/>
        <w:szCs w:val="36"/>
        <w:u w:val="none" w:color="000000"/>
        <w:bdr w:val="none" w:sz="0" w:space="0" w:color="auto"/>
        <w:shd w:val="clear" w:color="auto" w:fill="auto"/>
        <w:vertAlign w:val="baseline"/>
      </w:rPr>
    </w:lvl>
    <w:lvl w:ilvl="5" w:tplc="BCD6F716">
      <w:start w:val="1"/>
      <w:numFmt w:val="lowerRoman"/>
      <w:lvlText w:val="%6"/>
      <w:lvlJc w:val="left"/>
      <w:pPr>
        <w:ind w:left="4100"/>
      </w:pPr>
      <w:rPr>
        <w:rFonts w:ascii="Calibri" w:eastAsia="Calibri" w:hAnsi="Calibri" w:cs="Calibri"/>
        <w:b w:val="0"/>
        <w:i w:val="0"/>
        <w:strike w:val="0"/>
        <w:dstrike w:val="0"/>
        <w:color w:val="1D9955"/>
        <w:sz w:val="36"/>
        <w:szCs w:val="36"/>
        <w:u w:val="none" w:color="000000"/>
        <w:bdr w:val="none" w:sz="0" w:space="0" w:color="auto"/>
        <w:shd w:val="clear" w:color="auto" w:fill="auto"/>
        <w:vertAlign w:val="baseline"/>
      </w:rPr>
    </w:lvl>
    <w:lvl w:ilvl="6" w:tplc="9D6491F8">
      <w:start w:val="1"/>
      <w:numFmt w:val="decimal"/>
      <w:lvlText w:val="%7"/>
      <w:lvlJc w:val="left"/>
      <w:pPr>
        <w:ind w:left="4820"/>
      </w:pPr>
      <w:rPr>
        <w:rFonts w:ascii="Calibri" w:eastAsia="Calibri" w:hAnsi="Calibri" w:cs="Calibri"/>
        <w:b w:val="0"/>
        <w:i w:val="0"/>
        <w:strike w:val="0"/>
        <w:dstrike w:val="0"/>
        <w:color w:val="1D9955"/>
        <w:sz w:val="36"/>
        <w:szCs w:val="36"/>
        <w:u w:val="none" w:color="000000"/>
        <w:bdr w:val="none" w:sz="0" w:space="0" w:color="auto"/>
        <w:shd w:val="clear" w:color="auto" w:fill="auto"/>
        <w:vertAlign w:val="baseline"/>
      </w:rPr>
    </w:lvl>
    <w:lvl w:ilvl="7" w:tplc="40DA75BC">
      <w:start w:val="1"/>
      <w:numFmt w:val="lowerLetter"/>
      <w:lvlText w:val="%8"/>
      <w:lvlJc w:val="left"/>
      <w:pPr>
        <w:ind w:left="5540"/>
      </w:pPr>
      <w:rPr>
        <w:rFonts w:ascii="Calibri" w:eastAsia="Calibri" w:hAnsi="Calibri" w:cs="Calibri"/>
        <w:b w:val="0"/>
        <w:i w:val="0"/>
        <w:strike w:val="0"/>
        <w:dstrike w:val="0"/>
        <w:color w:val="1D9955"/>
        <w:sz w:val="36"/>
        <w:szCs w:val="36"/>
        <w:u w:val="none" w:color="000000"/>
        <w:bdr w:val="none" w:sz="0" w:space="0" w:color="auto"/>
        <w:shd w:val="clear" w:color="auto" w:fill="auto"/>
        <w:vertAlign w:val="baseline"/>
      </w:rPr>
    </w:lvl>
    <w:lvl w:ilvl="8" w:tplc="0E2864FE">
      <w:start w:val="1"/>
      <w:numFmt w:val="lowerRoman"/>
      <w:lvlText w:val="%9"/>
      <w:lvlJc w:val="left"/>
      <w:pPr>
        <w:ind w:left="6260"/>
      </w:pPr>
      <w:rPr>
        <w:rFonts w:ascii="Calibri" w:eastAsia="Calibri" w:hAnsi="Calibri" w:cs="Calibri"/>
        <w:b w:val="0"/>
        <w:i w:val="0"/>
        <w:strike w:val="0"/>
        <w:dstrike w:val="0"/>
        <w:color w:val="1D9955"/>
        <w:sz w:val="36"/>
        <w:szCs w:val="36"/>
        <w:u w:val="none" w:color="000000"/>
        <w:bdr w:val="none" w:sz="0" w:space="0" w:color="auto"/>
        <w:shd w:val="clear" w:color="auto" w:fill="auto"/>
        <w:vertAlign w:val="baseline"/>
      </w:rPr>
    </w:lvl>
  </w:abstractNum>
  <w:abstractNum w:abstractNumId="1" w15:restartNumberingAfterBreak="0">
    <w:nsid w:val="36436B76"/>
    <w:multiLevelType w:val="hybridMultilevel"/>
    <w:tmpl w:val="B6B6ED58"/>
    <w:lvl w:ilvl="0" w:tplc="E41802B8">
      <w:start w:val="1"/>
      <w:numFmt w:val="decimal"/>
      <w:lvlText w:val="%1)"/>
      <w:lvlJc w:val="left"/>
      <w:pPr>
        <w:ind w:left="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B620E52">
      <w:start w:val="1"/>
      <w:numFmt w:val="lowerLetter"/>
      <w:lvlText w:val="%2"/>
      <w:lvlJc w:val="left"/>
      <w:pPr>
        <w:ind w:left="15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A7446C0A">
      <w:start w:val="1"/>
      <w:numFmt w:val="lowerRoman"/>
      <w:lvlText w:val="%3"/>
      <w:lvlJc w:val="left"/>
      <w:pPr>
        <w:ind w:left="23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45B0DEE8">
      <w:start w:val="1"/>
      <w:numFmt w:val="decimal"/>
      <w:lvlText w:val="%4"/>
      <w:lvlJc w:val="left"/>
      <w:pPr>
        <w:ind w:left="30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21AC4EE2">
      <w:start w:val="1"/>
      <w:numFmt w:val="lowerLetter"/>
      <w:lvlText w:val="%5"/>
      <w:lvlJc w:val="left"/>
      <w:pPr>
        <w:ind w:left="37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A9582CEC">
      <w:start w:val="1"/>
      <w:numFmt w:val="lowerRoman"/>
      <w:lvlText w:val="%6"/>
      <w:lvlJc w:val="left"/>
      <w:pPr>
        <w:ind w:left="44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DFCE628C">
      <w:start w:val="1"/>
      <w:numFmt w:val="decimal"/>
      <w:lvlText w:val="%7"/>
      <w:lvlJc w:val="left"/>
      <w:pPr>
        <w:ind w:left="51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2F4209C">
      <w:start w:val="1"/>
      <w:numFmt w:val="lowerLetter"/>
      <w:lvlText w:val="%8"/>
      <w:lvlJc w:val="left"/>
      <w:pPr>
        <w:ind w:left="59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4822B56E">
      <w:start w:val="1"/>
      <w:numFmt w:val="lowerRoman"/>
      <w:lvlText w:val="%9"/>
      <w:lvlJc w:val="left"/>
      <w:pPr>
        <w:ind w:left="66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3E78385A"/>
    <w:multiLevelType w:val="hybridMultilevel"/>
    <w:tmpl w:val="2432D82E"/>
    <w:lvl w:ilvl="0" w:tplc="0DB651A8">
      <w:start w:val="1"/>
      <w:numFmt w:val="decimal"/>
      <w:lvlText w:val="%1)"/>
      <w:lvlJc w:val="left"/>
      <w:pPr>
        <w:ind w:left="6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10A85C6E">
      <w:start w:val="1"/>
      <w:numFmt w:val="lowerLetter"/>
      <w:lvlText w:val="%2"/>
      <w:lvlJc w:val="left"/>
      <w:pPr>
        <w:ind w:left="2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82D25A4E">
      <w:start w:val="1"/>
      <w:numFmt w:val="lowerRoman"/>
      <w:lvlText w:val="%3"/>
      <w:lvlJc w:val="left"/>
      <w:pPr>
        <w:ind w:left="2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F960699C">
      <w:start w:val="1"/>
      <w:numFmt w:val="decimal"/>
      <w:lvlText w:val="%4"/>
      <w:lvlJc w:val="left"/>
      <w:pPr>
        <w:ind w:left="3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E42ADC06">
      <w:start w:val="1"/>
      <w:numFmt w:val="lowerLetter"/>
      <w:lvlText w:val="%5"/>
      <w:lvlJc w:val="left"/>
      <w:pPr>
        <w:ind w:left="4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5038C83A">
      <w:start w:val="1"/>
      <w:numFmt w:val="lowerRoman"/>
      <w:lvlText w:val="%6"/>
      <w:lvlJc w:val="left"/>
      <w:pPr>
        <w:ind w:left="5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00948F68">
      <w:start w:val="1"/>
      <w:numFmt w:val="decimal"/>
      <w:lvlText w:val="%7"/>
      <w:lvlJc w:val="left"/>
      <w:pPr>
        <w:ind w:left="58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560F35A">
      <w:start w:val="1"/>
      <w:numFmt w:val="lowerLetter"/>
      <w:lvlText w:val="%8"/>
      <w:lvlJc w:val="left"/>
      <w:pPr>
        <w:ind w:left="65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571899FE">
      <w:start w:val="1"/>
      <w:numFmt w:val="lowerRoman"/>
      <w:lvlText w:val="%9"/>
      <w:lvlJc w:val="left"/>
      <w:pPr>
        <w:ind w:left="72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53083244"/>
    <w:multiLevelType w:val="hybridMultilevel"/>
    <w:tmpl w:val="1842EC70"/>
    <w:lvl w:ilvl="0" w:tplc="4B52E394">
      <w:start w:val="1"/>
      <w:numFmt w:val="decimal"/>
      <w:lvlText w:val="%1)"/>
      <w:lvlJc w:val="left"/>
      <w:pPr>
        <w:ind w:left="78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577CA268">
      <w:start w:val="1"/>
      <w:numFmt w:val="lowerLetter"/>
      <w:lvlText w:val="%2"/>
      <w:lvlJc w:val="left"/>
      <w:pPr>
        <w:ind w:left="23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1CAB814">
      <w:start w:val="1"/>
      <w:numFmt w:val="lowerRoman"/>
      <w:lvlText w:val="%3"/>
      <w:lvlJc w:val="left"/>
      <w:pPr>
        <w:ind w:left="31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7B7CC186">
      <w:start w:val="1"/>
      <w:numFmt w:val="decimal"/>
      <w:lvlText w:val="%4"/>
      <w:lvlJc w:val="left"/>
      <w:pPr>
        <w:ind w:left="38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F96538E">
      <w:start w:val="1"/>
      <w:numFmt w:val="lowerLetter"/>
      <w:lvlText w:val="%5"/>
      <w:lvlJc w:val="left"/>
      <w:pPr>
        <w:ind w:left="45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E1A06A20">
      <w:start w:val="1"/>
      <w:numFmt w:val="lowerRoman"/>
      <w:lvlText w:val="%6"/>
      <w:lvlJc w:val="left"/>
      <w:pPr>
        <w:ind w:left="52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C04EFDBA">
      <w:start w:val="1"/>
      <w:numFmt w:val="decimal"/>
      <w:lvlText w:val="%7"/>
      <w:lvlJc w:val="left"/>
      <w:pPr>
        <w:ind w:left="59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7567A18">
      <w:start w:val="1"/>
      <w:numFmt w:val="lowerLetter"/>
      <w:lvlText w:val="%8"/>
      <w:lvlJc w:val="left"/>
      <w:pPr>
        <w:ind w:left="67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750E188E">
      <w:start w:val="1"/>
      <w:numFmt w:val="lowerRoman"/>
      <w:lvlText w:val="%9"/>
      <w:lvlJc w:val="left"/>
      <w:pPr>
        <w:ind w:left="74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65A83DBC"/>
    <w:multiLevelType w:val="hybridMultilevel"/>
    <w:tmpl w:val="0AE68CB2"/>
    <w:lvl w:ilvl="0" w:tplc="34C02D20">
      <w:start w:val="1"/>
      <w:numFmt w:val="decimal"/>
      <w:lvlText w:val="%1)"/>
      <w:lvlJc w:val="left"/>
      <w:pPr>
        <w:ind w:left="63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5A8F4B4">
      <w:start w:val="1"/>
      <w:numFmt w:val="lowerLetter"/>
      <w:lvlText w:val="%2"/>
      <w:lvlJc w:val="left"/>
      <w:pPr>
        <w:ind w:left="221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48509DC8">
      <w:start w:val="1"/>
      <w:numFmt w:val="lowerRoman"/>
      <w:lvlText w:val="%3"/>
      <w:lvlJc w:val="left"/>
      <w:pPr>
        <w:ind w:left="293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C04750C">
      <w:start w:val="1"/>
      <w:numFmt w:val="decimal"/>
      <w:lvlText w:val="%4"/>
      <w:lvlJc w:val="left"/>
      <w:pPr>
        <w:ind w:left="365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E227782">
      <w:start w:val="1"/>
      <w:numFmt w:val="lowerLetter"/>
      <w:lvlText w:val="%5"/>
      <w:lvlJc w:val="left"/>
      <w:pPr>
        <w:ind w:left="437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1D4684B0">
      <w:start w:val="1"/>
      <w:numFmt w:val="lowerRoman"/>
      <w:lvlText w:val="%6"/>
      <w:lvlJc w:val="left"/>
      <w:pPr>
        <w:ind w:left="509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E0A49C84">
      <w:start w:val="1"/>
      <w:numFmt w:val="decimal"/>
      <w:lvlText w:val="%7"/>
      <w:lvlJc w:val="left"/>
      <w:pPr>
        <w:ind w:left="581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D9BA382C">
      <w:start w:val="1"/>
      <w:numFmt w:val="lowerLetter"/>
      <w:lvlText w:val="%8"/>
      <w:lvlJc w:val="left"/>
      <w:pPr>
        <w:ind w:left="653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66FC4D12">
      <w:start w:val="1"/>
      <w:numFmt w:val="lowerRoman"/>
      <w:lvlText w:val="%9"/>
      <w:lvlJc w:val="left"/>
      <w:pPr>
        <w:ind w:left="725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num w:numId="1" w16cid:durableId="1514493341">
    <w:abstractNumId w:val="3"/>
  </w:num>
  <w:num w:numId="2" w16cid:durableId="138696992">
    <w:abstractNumId w:val="0"/>
  </w:num>
  <w:num w:numId="3" w16cid:durableId="1365866387">
    <w:abstractNumId w:val="4"/>
  </w:num>
  <w:num w:numId="4" w16cid:durableId="1573932155">
    <w:abstractNumId w:val="2"/>
  </w:num>
  <w:num w:numId="5" w16cid:durableId="5659197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7A3E"/>
    <w:rsid w:val="00257A3E"/>
    <w:rsid w:val="005F589B"/>
    <w:rsid w:val="00AD375B"/>
    <w:rsid w:val="00FE6B0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96A45"/>
  <w15:docId w15:val="{4B12D19A-FF65-4CEC-AEC3-5DAA2C4AA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65" w:lineRule="auto"/>
      <w:ind w:left="800" w:right="76" w:firstLine="490"/>
      <w:jc w:val="both"/>
    </w:pPr>
    <w:rPr>
      <w:rFonts w:ascii="Arial" w:eastAsia="Arial" w:hAnsi="Arial" w:cs="Arial"/>
      <w:color w:val="000000"/>
      <w:sz w:val="18"/>
    </w:rPr>
  </w:style>
  <w:style w:type="paragraph" w:styleId="Ttulo1">
    <w:name w:val="heading 1"/>
    <w:next w:val="Normal"/>
    <w:link w:val="Ttulo1Char"/>
    <w:uiPriority w:val="9"/>
    <w:qFormat/>
    <w:pPr>
      <w:keepNext/>
      <w:keepLines/>
      <w:spacing w:after="108" w:line="259" w:lineRule="auto"/>
      <w:outlineLvl w:val="0"/>
    </w:pPr>
    <w:rPr>
      <w:rFonts w:ascii="Calibri" w:eastAsia="Calibri" w:hAnsi="Calibri" w:cs="Calibri"/>
      <w:b/>
      <w:color w:val="6EABBF"/>
      <w:sz w:val="26"/>
    </w:rPr>
  </w:style>
  <w:style w:type="paragraph" w:styleId="Ttulo2">
    <w:name w:val="heading 2"/>
    <w:next w:val="Normal"/>
    <w:link w:val="Ttulo2Char"/>
    <w:uiPriority w:val="9"/>
    <w:unhideWhenUsed/>
    <w:qFormat/>
    <w:pPr>
      <w:keepNext/>
      <w:keepLines/>
      <w:spacing w:after="106" w:line="259" w:lineRule="auto"/>
      <w:outlineLvl w:val="1"/>
    </w:pPr>
    <w:rPr>
      <w:rFonts w:ascii="Calibri" w:eastAsia="Calibri" w:hAnsi="Calibri" w:cs="Calibri"/>
      <w:b/>
      <w:color w:val="004582"/>
      <w:sz w:val="26"/>
    </w:rPr>
  </w:style>
  <w:style w:type="paragraph" w:styleId="Ttulo3">
    <w:name w:val="heading 3"/>
    <w:next w:val="Normal"/>
    <w:link w:val="Ttulo3Char"/>
    <w:uiPriority w:val="9"/>
    <w:unhideWhenUsed/>
    <w:qFormat/>
    <w:pPr>
      <w:keepNext/>
      <w:keepLines/>
      <w:spacing w:after="118" w:line="259" w:lineRule="auto"/>
      <w:outlineLvl w:val="2"/>
    </w:pPr>
    <w:rPr>
      <w:rFonts w:ascii="Calibri" w:eastAsia="Calibri" w:hAnsi="Calibri" w:cs="Calibri"/>
      <w:b/>
      <w:color w:val="C45911"/>
      <w:sz w:val="26"/>
    </w:rPr>
  </w:style>
  <w:style w:type="paragraph" w:styleId="Ttulo4">
    <w:name w:val="heading 4"/>
    <w:next w:val="Normal"/>
    <w:link w:val="Ttulo4Char"/>
    <w:uiPriority w:val="9"/>
    <w:unhideWhenUsed/>
    <w:qFormat/>
    <w:pPr>
      <w:keepNext/>
      <w:keepLines/>
      <w:spacing w:after="108" w:line="259" w:lineRule="auto"/>
      <w:outlineLvl w:val="3"/>
    </w:pPr>
    <w:rPr>
      <w:rFonts w:ascii="Calibri" w:eastAsia="Calibri" w:hAnsi="Calibri" w:cs="Calibri"/>
      <w:b/>
      <w:color w:val="F6A700"/>
      <w:sz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link w:val="Ttulo2"/>
    <w:rPr>
      <w:rFonts w:ascii="Calibri" w:eastAsia="Calibri" w:hAnsi="Calibri" w:cs="Calibri"/>
      <w:b/>
      <w:color w:val="004582"/>
      <w:sz w:val="26"/>
    </w:rPr>
  </w:style>
  <w:style w:type="character" w:customStyle="1" w:styleId="Ttulo1Char">
    <w:name w:val="Título 1 Char"/>
    <w:link w:val="Ttulo1"/>
    <w:rPr>
      <w:rFonts w:ascii="Calibri" w:eastAsia="Calibri" w:hAnsi="Calibri" w:cs="Calibri"/>
      <w:b/>
      <w:color w:val="6EABBF"/>
      <w:sz w:val="26"/>
    </w:rPr>
  </w:style>
  <w:style w:type="character" w:customStyle="1" w:styleId="Ttulo3Char">
    <w:name w:val="Título 3 Char"/>
    <w:link w:val="Ttulo3"/>
    <w:rPr>
      <w:rFonts w:ascii="Calibri" w:eastAsia="Calibri" w:hAnsi="Calibri" w:cs="Calibri"/>
      <w:b/>
      <w:color w:val="C45911"/>
      <w:sz w:val="26"/>
    </w:rPr>
  </w:style>
  <w:style w:type="character" w:customStyle="1" w:styleId="Ttulo4Char">
    <w:name w:val="Título 4 Char"/>
    <w:link w:val="Ttulo4"/>
    <w:rPr>
      <w:rFonts w:ascii="Calibri" w:eastAsia="Calibri" w:hAnsi="Calibri" w:cs="Calibri"/>
      <w:b/>
      <w:color w:val="F6A700"/>
      <w:sz w:val="26"/>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eader" Target="header4.xm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2.xml"/><Relationship Id="rId34" Type="http://schemas.openxmlformats.org/officeDocument/2006/relationships/footer" Target="footer7.xml"/><Relationship Id="rId7" Type="http://schemas.openxmlformats.org/officeDocument/2006/relationships/image" Target="media/image1.png"/><Relationship Id="rId25" Type="http://schemas.openxmlformats.org/officeDocument/2006/relationships/footer" Target="footer3.xml"/><Relationship Id="rId33" Type="http://schemas.openxmlformats.org/officeDocument/2006/relationships/header" Target="header8.xml"/><Relationship Id="rId38" Type="http://schemas.openxmlformats.org/officeDocument/2006/relationships/fontTable" Target="fontTable.xml"/><Relationship Id="rId2" Type="http://schemas.openxmlformats.org/officeDocument/2006/relationships/styles" Target="styles.xml"/><Relationship Id="rId20" Type="http://schemas.openxmlformats.org/officeDocument/2006/relationships/header" Target="header1.xml"/><Relationship Id="rId29"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24" Type="http://schemas.openxmlformats.org/officeDocument/2006/relationships/header" Target="header3.xml"/><Relationship Id="rId32" Type="http://schemas.openxmlformats.org/officeDocument/2006/relationships/header" Target="header7.xml"/><Relationship Id="rId37" Type="http://schemas.openxmlformats.org/officeDocument/2006/relationships/footer" Target="footer9.xml"/><Relationship Id="rId5" Type="http://schemas.openxmlformats.org/officeDocument/2006/relationships/footnotes" Target="footnotes.xml"/><Relationship Id="rId23" Type="http://schemas.openxmlformats.org/officeDocument/2006/relationships/footer" Target="footer2.xml"/><Relationship Id="rId28" Type="http://schemas.openxmlformats.org/officeDocument/2006/relationships/footer" Target="footer4.xml"/><Relationship Id="rId36" Type="http://schemas.openxmlformats.org/officeDocument/2006/relationships/header" Target="header9.xml"/><Relationship Id="rId19" Type="http://schemas.openxmlformats.org/officeDocument/2006/relationships/image" Target="media/image0.png"/><Relationship Id="rId31" Type="http://schemas.openxmlformats.org/officeDocument/2006/relationships/footer" Target="footer6.xml"/><Relationship Id="rId4" Type="http://schemas.openxmlformats.org/officeDocument/2006/relationships/webSettings" Target="webSettings.xml"/><Relationship Id="rId22" Type="http://schemas.openxmlformats.org/officeDocument/2006/relationships/footer" Target="footer1.xml"/><Relationship Id="rId27" Type="http://schemas.openxmlformats.org/officeDocument/2006/relationships/header" Target="header5.xml"/><Relationship Id="rId30" Type="http://schemas.openxmlformats.org/officeDocument/2006/relationships/header" Target="header6.xml"/><Relationship Id="rId35" Type="http://schemas.openxmlformats.org/officeDocument/2006/relationships/footer" Target="footer8.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4029</Words>
  <Characters>21759</Characters>
  <Application>Microsoft Office Word</Application>
  <DocSecurity>0</DocSecurity>
  <Lines>181</Lines>
  <Paragraphs>51</Paragraphs>
  <ScaleCrop>false</ScaleCrop>
  <Company/>
  <LinksUpToDate>false</LinksUpToDate>
  <CharactersWithSpaces>25737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Samilly Vitória Costa Mendes</dc:creator>
  <cp:keywords/>
  <cp:lastModifiedBy>Samilly Vitória Costa Mendes</cp:lastModifiedBy>
  <cp:revision>2</cp:revision>
  <dcterms:created xsi:type="dcterms:W3CDTF">2026-08-24T20:56:00Z</dcterms:created>
  <dcterms:modified xsi:type="dcterms:W3CDTF">2026-08-24T20:56:00Z</dcterms:modified>
</cp:coreProperties>
</file>