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FBAC17" w14:textId="77777777" w:rsidR="001A479A" w:rsidRDefault="00000000">
      <w:pPr>
        <w:spacing w:after="91"/>
        <w:ind w:left="708"/>
      </w:pPr>
      <w:r>
        <w:rPr>
          <w:sz w:val="28"/>
        </w:rPr>
        <w:t xml:space="preserve"> </w:t>
      </w:r>
    </w:p>
    <w:p w14:paraId="2905B491" w14:textId="77777777" w:rsidR="001A479A" w:rsidRDefault="00000000">
      <w:pPr>
        <w:spacing w:after="0" w:line="240" w:lineRule="auto"/>
        <w:ind w:left="-15" w:right="-8" w:firstLine="698"/>
        <w:jc w:val="both"/>
      </w:pPr>
      <w:r>
        <w:rPr>
          <w:sz w:val="28"/>
        </w:rPr>
        <w:t xml:space="preserve">Este boletim periódico apresenta um conjunto de decisões do Tribunal de Contas do Distrito Federal (TCDF) que foram destacadas por sua relevância.   </w:t>
      </w:r>
    </w:p>
    <w:p w14:paraId="5AECD9B8" w14:textId="77777777" w:rsidR="001A479A" w:rsidRDefault="00000000">
      <w:pPr>
        <w:spacing w:after="0" w:line="240" w:lineRule="auto"/>
        <w:ind w:left="-15" w:right="-8" w:firstLine="698"/>
        <w:jc w:val="both"/>
      </w:pPr>
      <w:r>
        <w:rPr>
          <w:sz w:val="28"/>
        </w:rPr>
        <w:t xml:space="preserve">As decisões estão expostas por meio de resumos produzidos pela Supervisão de Legislação e Jurisprudência - SLJ ou pela ementa dos votos dos Desembargadores de Contas Relatores.  </w:t>
      </w:r>
    </w:p>
    <w:p w14:paraId="4B6946C7" w14:textId="77777777" w:rsidR="001A479A" w:rsidRDefault="00000000">
      <w:pPr>
        <w:spacing w:after="0" w:line="240" w:lineRule="auto"/>
        <w:ind w:left="-15" w:right="-8" w:firstLine="698"/>
        <w:jc w:val="both"/>
      </w:pPr>
      <w:r>
        <w:rPr>
          <w:sz w:val="28"/>
        </w:rPr>
        <w:t xml:space="preserve">Importante destacar que as informações não são um resumo oficial, nem refletem necessariamente a opinião dominante do Tribunal.    </w:t>
      </w:r>
    </w:p>
    <w:p w14:paraId="20CD1F74" w14:textId="77777777" w:rsidR="001A479A" w:rsidRDefault="00000000">
      <w:pPr>
        <w:spacing w:after="211"/>
        <w:ind w:left="708"/>
      </w:pPr>
      <w:r>
        <w:rPr>
          <w:sz w:val="28"/>
        </w:rPr>
        <w:t xml:space="preserve">Para detalhes, acesse os documentos do processo pelos links fornecidos.  </w:t>
      </w:r>
    </w:p>
    <w:p w14:paraId="783C72D7" w14:textId="77777777" w:rsidR="001A479A" w:rsidRDefault="00000000">
      <w:pPr>
        <w:spacing w:after="0"/>
        <w:ind w:left="389"/>
      </w:pPr>
      <w:r>
        <w:rPr>
          <w:sz w:val="28"/>
        </w:rPr>
        <w:t xml:space="preserve"> </w:t>
      </w:r>
    </w:p>
    <w:p w14:paraId="420E89CE" w14:textId="77777777" w:rsidR="001A479A" w:rsidRDefault="00000000">
      <w:pPr>
        <w:spacing w:after="713"/>
        <w:ind w:left="2931"/>
      </w:pPr>
      <w:r>
        <w:rPr>
          <w:noProof/>
        </w:rPr>
        <mc:AlternateContent>
          <mc:Choice Requires="wpg">
            <w:drawing>
              <wp:inline distT="0" distB="0" distL="0" distR="0" wp14:anchorId="3CF0D881" wp14:editId="7EAE9E02">
                <wp:extent cx="2998470" cy="19050"/>
                <wp:effectExtent l="0" t="0" r="0" b="0"/>
                <wp:docPr id="14181" name="Group 14181"/>
                <wp:cNvGraphicFramePr/>
                <a:graphic xmlns:a="http://schemas.openxmlformats.org/drawingml/2006/main">
                  <a:graphicData uri="http://schemas.microsoft.com/office/word/2010/wordprocessingGroup">
                    <wpg:wgp>
                      <wpg:cNvGrpSpPr/>
                      <wpg:grpSpPr>
                        <a:xfrm>
                          <a:off x="0" y="0"/>
                          <a:ext cx="2998470" cy="19050"/>
                          <a:chOff x="0" y="0"/>
                          <a:chExt cx="2998470" cy="19050"/>
                        </a:xfrm>
                      </wpg:grpSpPr>
                      <wps:wsp>
                        <wps:cNvPr id="154" name="Shape 154"/>
                        <wps:cNvSpPr/>
                        <wps:spPr>
                          <a:xfrm>
                            <a:off x="0" y="0"/>
                            <a:ext cx="2998470" cy="0"/>
                          </a:xfrm>
                          <a:custGeom>
                            <a:avLst/>
                            <a:gdLst/>
                            <a:ahLst/>
                            <a:cxnLst/>
                            <a:rect l="0" t="0" r="0" b="0"/>
                            <a:pathLst>
                              <a:path w="2998470">
                                <a:moveTo>
                                  <a:pt x="0" y="0"/>
                                </a:moveTo>
                                <a:lnTo>
                                  <a:pt x="2998470" y="0"/>
                                </a:lnTo>
                              </a:path>
                            </a:pathLst>
                          </a:custGeom>
                          <a:ln w="19050" cap="flat">
                            <a:miter lim="127000"/>
                          </a:ln>
                        </wps:spPr>
                        <wps:style>
                          <a:lnRef idx="1">
                            <a:srgbClr val="4472C4"/>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4181" style="width:236.1pt;height:1.5pt;mso-position-horizontal-relative:char;mso-position-vertical-relative:line" coordsize="29984,190">
                <v:shape id="Shape 154" style="position:absolute;width:29984;height:0;left:0;top:0;" coordsize="2998470,0" path="m0,0l2998470,0">
                  <v:stroke weight="1.5pt" endcap="flat" joinstyle="miter" miterlimit="10" on="true" color="#4472c4"/>
                  <v:fill on="false" color="#000000" opacity="0"/>
                </v:shape>
              </v:group>
            </w:pict>
          </mc:Fallback>
        </mc:AlternateContent>
      </w:r>
    </w:p>
    <w:p w14:paraId="42C98CA9" w14:textId="77777777" w:rsidR="001A479A" w:rsidRDefault="00000000">
      <w:pPr>
        <w:spacing w:after="783"/>
      </w:pPr>
      <w:r>
        <w:rPr>
          <w:b/>
          <w:color w:val="F6A700"/>
          <w:sz w:val="32"/>
        </w:rPr>
        <w:t>Licitações e Contratos (setembro a outubro/2025)</w:t>
      </w:r>
      <w:r>
        <w:rPr>
          <w:b/>
          <w:color w:val="004364"/>
          <w:sz w:val="32"/>
        </w:rPr>
        <w:t xml:space="preserve">  </w:t>
      </w:r>
    </w:p>
    <w:p w14:paraId="49260DA7" w14:textId="77777777" w:rsidR="001A479A" w:rsidRDefault="00000000">
      <w:pPr>
        <w:numPr>
          <w:ilvl w:val="0"/>
          <w:numId w:val="1"/>
        </w:numPr>
        <w:spacing w:after="5" w:line="250" w:lineRule="auto"/>
        <w:ind w:hanging="1205"/>
        <w:jc w:val="both"/>
      </w:pPr>
      <w:r>
        <w:rPr>
          <w:b/>
          <w:sz w:val="24"/>
        </w:rPr>
        <w:t xml:space="preserve">LICITAÇÃO. PROCESSUAL. SECRETARIA DE ESTADO DE EDUCAÇÃO DO DISTRITO FEDERAL - </w:t>
      </w:r>
    </w:p>
    <w:p w14:paraId="53E6ACD6" w14:textId="77777777" w:rsidR="001A479A" w:rsidRDefault="00000000">
      <w:pPr>
        <w:spacing w:after="5" w:line="250" w:lineRule="auto"/>
        <w:ind w:left="703" w:hanging="10"/>
        <w:jc w:val="both"/>
      </w:pPr>
      <w:r>
        <w:rPr>
          <w:b/>
          <w:sz w:val="24"/>
        </w:rPr>
        <w:t xml:space="preserve">SEE/DF. PREGÃO. REGISTRO DE PREÇOS. AQUISIÇÃO. MATERIAL DIDÁTICO. OBJETO DA LICITAÇÃO. JUSTIFICATIVA. CLAREZA. TRANSPARÊNCIA. NECESSIDADE. TUTELA DE URGÊNCIA. CONFIRMAÇÃO. ANULAÇÃO. </w:t>
      </w:r>
    </w:p>
    <w:p w14:paraId="53818088" w14:textId="77777777" w:rsidR="001A479A" w:rsidRDefault="00000000">
      <w:pPr>
        <w:spacing w:after="0"/>
        <w:ind w:left="1416"/>
      </w:pPr>
      <w:r>
        <w:rPr>
          <w:sz w:val="24"/>
        </w:rPr>
        <w:t xml:space="preserve"> </w:t>
      </w:r>
    </w:p>
    <w:p w14:paraId="2A2CC5BD" w14:textId="77777777" w:rsidR="001A479A" w:rsidRDefault="00000000">
      <w:pPr>
        <w:numPr>
          <w:ilvl w:val="2"/>
          <w:numId w:val="2"/>
        </w:numPr>
        <w:spacing w:after="5" w:line="249" w:lineRule="auto"/>
        <w:ind w:firstLine="698"/>
        <w:jc w:val="both"/>
      </w:pPr>
      <w:r>
        <w:rPr>
          <w:sz w:val="24"/>
        </w:rPr>
        <w:t xml:space="preserve">Não se admite a definição imprecisa do objeto, sem elementos necessários e suficientes para caracterização dos serviços a serem contratados, por prejudicar a formulação de propostas pelos interessados, em afronta aos princípios da transparência e da competitividade, e gerar riscos à adequada execução e fiscalização contratual (Lei Federal nº 14.133/2021, arts. 5º e 6º, XXIII, a, c/c art. 89, § 2º).  </w:t>
      </w:r>
    </w:p>
    <w:p w14:paraId="12AA9F75" w14:textId="77777777" w:rsidR="001A479A" w:rsidRDefault="00000000">
      <w:pPr>
        <w:spacing w:after="0"/>
        <w:ind w:left="1416"/>
      </w:pPr>
      <w:r>
        <w:rPr>
          <w:sz w:val="24"/>
        </w:rPr>
        <w:t xml:space="preserve"> </w:t>
      </w:r>
    </w:p>
    <w:p w14:paraId="36B3FD08" w14:textId="77777777" w:rsidR="001A479A" w:rsidRDefault="00000000">
      <w:pPr>
        <w:numPr>
          <w:ilvl w:val="2"/>
          <w:numId w:val="2"/>
        </w:numPr>
        <w:spacing w:after="5" w:line="249" w:lineRule="auto"/>
        <w:ind w:firstLine="698"/>
        <w:jc w:val="both"/>
      </w:pPr>
      <w:r>
        <w:rPr>
          <w:sz w:val="24"/>
        </w:rPr>
        <w:t xml:space="preserve">Não sendo suficientes os esclarecimentos prestados e os ajustes empreendidos nos artefatos da licitação após a concessão de tutela de urgência para suspensão do certame, compete ao Tribunal julgar o mérito e determinar a anulação da licitação (Lei Federal nº 14.133/2021, art. 171, §§ 1º e 3º). </w:t>
      </w:r>
    </w:p>
    <w:p w14:paraId="31FEF838" w14:textId="77777777" w:rsidR="001A479A" w:rsidRDefault="00000000">
      <w:pPr>
        <w:spacing w:after="0"/>
        <w:ind w:left="1416"/>
      </w:pPr>
      <w:r>
        <w:rPr>
          <w:sz w:val="24"/>
        </w:rPr>
        <w:t xml:space="preserve"> </w:t>
      </w:r>
    </w:p>
    <w:p w14:paraId="1D854DCB" w14:textId="77777777" w:rsidR="001A479A" w:rsidRDefault="00000000">
      <w:pPr>
        <w:spacing w:after="5" w:line="250" w:lineRule="auto"/>
        <w:ind w:left="703" w:hanging="10"/>
        <w:jc w:val="both"/>
      </w:pPr>
      <w:r>
        <w:rPr>
          <w:b/>
          <w:sz w:val="24"/>
        </w:rPr>
        <w:t xml:space="preserve">Relator:                                                                 Sessão: </w:t>
      </w:r>
    </w:p>
    <w:p w14:paraId="1E06293C" w14:textId="77777777" w:rsidR="001A479A" w:rsidRDefault="00000000">
      <w:pPr>
        <w:spacing w:after="5" w:line="250" w:lineRule="auto"/>
        <w:ind w:left="703" w:hanging="10"/>
        <w:jc w:val="both"/>
      </w:pPr>
      <w:r>
        <w:rPr>
          <w:b/>
          <w:sz w:val="24"/>
        </w:rPr>
        <w:t xml:space="preserve">Antonio Renato Alves Rainha                          ORDINÁRIA nº 5437, de 03/09/2025. </w:t>
      </w:r>
    </w:p>
    <w:p w14:paraId="6D689705" w14:textId="77777777" w:rsidR="001A479A" w:rsidRDefault="00000000">
      <w:pPr>
        <w:spacing w:after="0"/>
        <w:ind w:left="708"/>
      </w:pPr>
      <w:r>
        <w:rPr>
          <w:b/>
          <w:sz w:val="24"/>
        </w:rPr>
        <w:t xml:space="preserve">Decisão por unanimidade                                 </w:t>
      </w:r>
      <w:r>
        <w:rPr>
          <w:color w:val="0563C1"/>
          <w:sz w:val="24"/>
          <w:u w:val="single" w:color="0563C1"/>
        </w:rPr>
        <w:t>Proc. nº 3437/2025</w:t>
      </w:r>
      <w:r>
        <w:rPr>
          <w:color w:val="2A69C5"/>
          <w:sz w:val="24"/>
          <w:u w:val="single" w:color="0563C1"/>
        </w:rPr>
        <w:t xml:space="preserve"> - </w:t>
      </w:r>
      <w:r>
        <w:rPr>
          <w:color w:val="0563C1"/>
          <w:sz w:val="24"/>
          <w:u w:val="single" w:color="0563C1"/>
        </w:rPr>
        <w:t>Dec. nº 3349/2025</w:t>
      </w:r>
      <w:r>
        <w:rPr>
          <w:b/>
          <w:sz w:val="24"/>
        </w:rPr>
        <w:t xml:space="preserve"> </w:t>
      </w:r>
    </w:p>
    <w:p w14:paraId="60768BCE" w14:textId="77777777" w:rsidR="001A479A" w:rsidRDefault="00000000">
      <w:pPr>
        <w:spacing w:after="0"/>
        <w:ind w:left="708"/>
      </w:pPr>
      <w:r>
        <w:rPr>
          <w:b/>
          <w:sz w:val="24"/>
        </w:rPr>
        <w:t xml:space="preserve"> </w:t>
      </w:r>
    </w:p>
    <w:p w14:paraId="3EDE5ABE" w14:textId="77777777" w:rsidR="001A479A" w:rsidRDefault="00000000">
      <w:pPr>
        <w:spacing w:after="5" w:line="250" w:lineRule="auto"/>
        <w:ind w:left="703" w:hanging="10"/>
        <w:jc w:val="both"/>
      </w:pPr>
      <w:r>
        <w:rPr>
          <w:b/>
          <w:sz w:val="24"/>
        </w:rPr>
        <w:t xml:space="preserve">Legislação relacionada: </w:t>
      </w:r>
      <w:r>
        <w:rPr>
          <w:sz w:val="24"/>
        </w:rPr>
        <w:t xml:space="preserve"> </w:t>
      </w:r>
    </w:p>
    <w:p w14:paraId="734BFCFE" w14:textId="77777777" w:rsidR="001A479A" w:rsidRDefault="00000000">
      <w:pPr>
        <w:spacing w:after="3" w:line="253" w:lineRule="auto"/>
        <w:ind w:left="703" w:hanging="10"/>
      </w:pPr>
      <w:r>
        <w:rPr>
          <w:rFonts w:ascii="Segoe UI" w:eastAsia="Segoe UI" w:hAnsi="Segoe UI" w:cs="Segoe UI"/>
          <w:color w:val="0563C1"/>
          <w:sz w:val="24"/>
          <w:u w:val="single" w:color="0563C1"/>
        </w:rPr>
        <w:lastRenderedPageBreak/>
        <w:t>Lei nº 14.133/2021, Art. 122</w:t>
      </w:r>
      <w:r>
        <w:rPr>
          <w:sz w:val="24"/>
        </w:rPr>
        <w:t xml:space="preserve"> </w:t>
      </w:r>
    </w:p>
    <w:p w14:paraId="45359189" w14:textId="77777777" w:rsidR="001A479A" w:rsidRDefault="00000000">
      <w:pPr>
        <w:spacing w:after="3" w:line="253" w:lineRule="auto"/>
        <w:ind w:left="703" w:hanging="10"/>
      </w:pPr>
      <w:r>
        <w:rPr>
          <w:rFonts w:ascii="Segoe UI" w:eastAsia="Segoe UI" w:hAnsi="Segoe UI" w:cs="Segoe UI"/>
          <w:color w:val="0563C1"/>
          <w:sz w:val="24"/>
          <w:u w:val="single" w:color="0563C1"/>
        </w:rPr>
        <w:t>Lei nº 14.133/2021, Art. 15</w:t>
      </w:r>
      <w:r>
        <w:rPr>
          <w:sz w:val="24"/>
        </w:rPr>
        <w:t xml:space="preserve"> </w:t>
      </w:r>
    </w:p>
    <w:p w14:paraId="331D18F3" w14:textId="77777777" w:rsidR="001A479A" w:rsidRDefault="00000000">
      <w:pPr>
        <w:spacing w:after="3" w:line="253" w:lineRule="auto"/>
        <w:ind w:left="703" w:hanging="10"/>
      </w:pPr>
      <w:r>
        <w:rPr>
          <w:rFonts w:ascii="Segoe UI" w:eastAsia="Segoe UI" w:hAnsi="Segoe UI" w:cs="Segoe UI"/>
          <w:color w:val="0563C1"/>
          <w:sz w:val="24"/>
          <w:u w:val="single" w:color="0563C1"/>
        </w:rPr>
        <w:t>Lei nº 14.133/2021, Art. 171, § 1º</w:t>
      </w:r>
      <w:r>
        <w:rPr>
          <w:sz w:val="24"/>
        </w:rPr>
        <w:t xml:space="preserve"> </w:t>
      </w:r>
    </w:p>
    <w:p w14:paraId="7E52F67E" w14:textId="77777777" w:rsidR="001A479A" w:rsidRDefault="00000000">
      <w:pPr>
        <w:numPr>
          <w:ilvl w:val="0"/>
          <w:numId w:val="1"/>
        </w:numPr>
        <w:spacing w:after="5" w:line="250" w:lineRule="auto"/>
        <w:ind w:hanging="1205"/>
        <w:jc w:val="both"/>
      </w:pPr>
      <w:r>
        <w:rPr>
          <w:b/>
          <w:sz w:val="24"/>
        </w:rPr>
        <w:t xml:space="preserve">LICITAÇÃO. COMPANHIA DE SANEAMENTO AMBIENTAL DO DISTRITO FEDERAL - CAESB. </w:t>
      </w:r>
    </w:p>
    <w:p w14:paraId="4FC74645" w14:textId="77777777" w:rsidR="001A479A" w:rsidRDefault="00000000">
      <w:pPr>
        <w:spacing w:after="5" w:line="250" w:lineRule="auto"/>
        <w:ind w:left="703" w:hanging="10"/>
        <w:jc w:val="both"/>
      </w:pPr>
      <w:r>
        <w:rPr>
          <w:b/>
          <w:sz w:val="24"/>
        </w:rPr>
        <w:t>REPRESENTAÇÃO. MÉRITO. DISPENSA DE LICITAÇÃO. CONTRATAÇÃO EMERGENCIAL. DIREITO SUBJETIVO. PROPOSTA. INEXISTÊNCIA. PLANEJAMENTO. PRINCÍPIO DA EFICIÊNCIA. INTERESSE PÚBLICO. DESCUMPRIMENTO. MEDIDA CAUTELAR. DETERMINAÇÃO. ORIENTAÇÃO. DILIGÊNCIA INTERNA. INSPEÇÃO. ARQUIVAMENTO.</w:t>
      </w:r>
      <w:r>
        <w:rPr>
          <w:sz w:val="24"/>
        </w:rPr>
        <w:t xml:space="preserve"> </w:t>
      </w:r>
    </w:p>
    <w:p w14:paraId="2ADFA0B5" w14:textId="77777777" w:rsidR="001A479A" w:rsidRDefault="00000000">
      <w:pPr>
        <w:spacing w:after="0"/>
        <w:ind w:left="1416"/>
      </w:pPr>
      <w:r>
        <w:rPr>
          <w:sz w:val="24"/>
        </w:rPr>
        <w:t xml:space="preserve"> </w:t>
      </w:r>
    </w:p>
    <w:p w14:paraId="6024F8D9" w14:textId="77777777" w:rsidR="001A479A" w:rsidRDefault="00000000">
      <w:pPr>
        <w:numPr>
          <w:ilvl w:val="1"/>
          <w:numId w:val="1"/>
        </w:numPr>
        <w:spacing w:after="5" w:line="249" w:lineRule="auto"/>
        <w:ind w:firstLine="698"/>
        <w:jc w:val="both"/>
      </w:pPr>
      <w:r>
        <w:rPr>
          <w:sz w:val="24"/>
        </w:rPr>
        <w:t xml:space="preserve">Em sede de dispensa de licitação, inexiste dever de divulgação e publicação prévia dos artefatos do certame por parte da Administração, por ausência de previsão legal.  </w:t>
      </w:r>
    </w:p>
    <w:p w14:paraId="056B8669" w14:textId="77777777" w:rsidR="001A479A" w:rsidRDefault="00000000">
      <w:pPr>
        <w:spacing w:after="0"/>
        <w:ind w:left="1416"/>
      </w:pPr>
      <w:r>
        <w:rPr>
          <w:sz w:val="24"/>
        </w:rPr>
        <w:t xml:space="preserve"> </w:t>
      </w:r>
    </w:p>
    <w:p w14:paraId="09101B00" w14:textId="77777777" w:rsidR="001A479A" w:rsidRDefault="00000000">
      <w:pPr>
        <w:numPr>
          <w:ilvl w:val="1"/>
          <w:numId w:val="1"/>
        </w:numPr>
        <w:spacing w:after="5" w:line="249" w:lineRule="auto"/>
        <w:ind w:firstLine="698"/>
        <w:jc w:val="both"/>
      </w:pPr>
      <w:r>
        <w:rPr>
          <w:sz w:val="24"/>
        </w:rPr>
        <w:t xml:space="preserve">Em sede de dispensa de licitação fundada em emergência para evitar solução de continuidade na prestação de serviço público, a legislação não atribui à empresa interessada direito subjetivo de apresentar proposta ou de participar, de qualquer forma, do procedimento (Lei Federal nº 13.303/2016, art. 29, XV, e art. 30, § 3º).  </w:t>
      </w:r>
    </w:p>
    <w:p w14:paraId="49E892F6" w14:textId="77777777" w:rsidR="001A479A" w:rsidRDefault="00000000">
      <w:pPr>
        <w:spacing w:after="0"/>
        <w:ind w:left="1416"/>
      </w:pPr>
      <w:r>
        <w:rPr>
          <w:sz w:val="24"/>
        </w:rPr>
        <w:t xml:space="preserve"> </w:t>
      </w:r>
    </w:p>
    <w:p w14:paraId="7A5AB78A" w14:textId="77777777" w:rsidR="001A479A" w:rsidRDefault="00000000">
      <w:pPr>
        <w:numPr>
          <w:ilvl w:val="1"/>
          <w:numId w:val="1"/>
        </w:numPr>
        <w:spacing w:after="5" w:line="249" w:lineRule="auto"/>
        <w:ind w:firstLine="698"/>
        <w:jc w:val="both"/>
      </w:pPr>
      <w:r>
        <w:rPr>
          <w:sz w:val="24"/>
        </w:rPr>
        <w:t xml:space="preserve">À luz dos princípios da eficiência e do interesse público e do dever de boa administração, compete à empresa pública, no âmbito do planejamento de suas licitações, adotar providências tempestivas para mitigar os riscos de paralisação de serviços públicos e de realização de dispensas de licitação fundadas em emergência (Lei Orgânica do Distrito Federal, art. 19, caput; Lei Federal nº 13.303/2016, art. 31). </w:t>
      </w:r>
    </w:p>
    <w:p w14:paraId="0540109D" w14:textId="77777777" w:rsidR="001A479A" w:rsidRDefault="00000000">
      <w:pPr>
        <w:spacing w:after="0"/>
        <w:ind w:left="1416"/>
      </w:pPr>
      <w:r>
        <w:rPr>
          <w:sz w:val="24"/>
        </w:rPr>
        <w:t xml:space="preserve"> </w:t>
      </w:r>
    </w:p>
    <w:p w14:paraId="05CA04AC" w14:textId="77777777" w:rsidR="001A479A" w:rsidRDefault="00000000">
      <w:pPr>
        <w:spacing w:after="5" w:line="250" w:lineRule="auto"/>
        <w:ind w:left="703" w:hanging="10"/>
        <w:jc w:val="both"/>
      </w:pPr>
      <w:r>
        <w:rPr>
          <w:b/>
          <w:sz w:val="24"/>
        </w:rPr>
        <w:t xml:space="preserve">Relator:                                                                 Sessão: </w:t>
      </w:r>
    </w:p>
    <w:p w14:paraId="3221DF5A" w14:textId="77777777" w:rsidR="001A479A" w:rsidRDefault="00000000">
      <w:pPr>
        <w:spacing w:after="5" w:line="250" w:lineRule="auto"/>
        <w:ind w:left="703" w:hanging="10"/>
        <w:jc w:val="both"/>
      </w:pPr>
      <w:r>
        <w:rPr>
          <w:b/>
          <w:sz w:val="24"/>
        </w:rPr>
        <w:t xml:space="preserve">Antonio Renato Alves Rainha                          ORDINÁRIA nº 5437, de 03/09/2025. </w:t>
      </w:r>
    </w:p>
    <w:p w14:paraId="58824142" w14:textId="77777777" w:rsidR="001A479A" w:rsidRDefault="00000000">
      <w:pPr>
        <w:spacing w:after="5" w:line="250" w:lineRule="auto"/>
        <w:ind w:left="703" w:hanging="10"/>
        <w:jc w:val="both"/>
      </w:pPr>
      <w:r>
        <w:rPr>
          <w:b/>
          <w:sz w:val="24"/>
        </w:rPr>
        <w:t xml:space="preserve">Decisão por unanimidade                                 </w:t>
      </w:r>
      <w:r>
        <w:rPr>
          <w:color w:val="0563C1"/>
          <w:sz w:val="24"/>
          <w:u w:val="single" w:color="0563C1"/>
        </w:rPr>
        <w:t>Proc. nº 9142/2025</w:t>
      </w:r>
      <w:r>
        <w:rPr>
          <w:color w:val="2A69C5"/>
          <w:sz w:val="24"/>
          <w:u w:val="single" w:color="0563C1"/>
        </w:rPr>
        <w:t xml:space="preserve"> - </w:t>
      </w:r>
      <w:r>
        <w:rPr>
          <w:color w:val="0563C1"/>
          <w:sz w:val="24"/>
          <w:u w:val="single" w:color="0563C1"/>
        </w:rPr>
        <w:t>Dec. nº 3426/2025</w:t>
      </w:r>
      <w:r>
        <w:rPr>
          <w:b/>
          <w:sz w:val="24"/>
        </w:rPr>
        <w:t xml:space="preserve"> </w:t>
      </w:r>
    </w:p>
    <w:p w14:paraId="180E5859" w14:textId="77777777" w:rsidR="001A479A" w:rsidRDefault="00000000">
      <w:pPr>
        <w:spacing w:after="0"/>
        <w:ind w:left="708"/>
      </w:pPr>
      <w:r>
        <w:rPr>
          <w:b/>
          <w:sz w:val="24"/>
        </w:rPr>
        <w:t xml:space="preserve"> </w:t>
      </w:r>
    </w:p>
    <w:p w14:paraId="795FF9DD" w14:textId="77777777" w:rsidR="001A479A" w:rsidRDefault="00000000">
      <w:pPr>
        <w:spacing w:after="5" w:line="250" w:lineRule="auto"/>
        <w:ind w:left="703" w:hanging="10"/>
        <w:jc w:val="both"/>
      </w:pPr>
      <w:r>
        <w:rPr>
          <w:b/>
          <w:sz w:val="24"/>
        </w:rPr>
        <w:t xml:space="preserve">Decisões relacionadas: </w:t>
      </w:r>
      <w:r>
        <w:rPr>
          <w:sz w:val="24"/>
        </w:rPr>
        <w:t xml:space="preserve"> </w:t>
      </w:r>
    </w:p>
    <w:p w14:paraId="72018194" w14:textId="77777777" w:rsidR="001A479A" w:rsidRDefault="00000000">
      <w:pPr>
        <w:spacing w:after="3" w:line="253" w:lineRule="auto"/>
        <w:ind w:left="703" w:hanging="10"/>
      </w:pPr>
      <w:r>
        <w:rPr>
          <w:rFonts w:ascii="Segoe UI" w:eastAsia="Segoe UI" w:hAnsi="Segoe UI" w:cs="Segoe UI"/>
          <w:color w:val="0563C1"/>
          <w:sz w:val="24"/>
          <w:u w:val="single" w:color="0563C1"/>
        </w:rPr>
        <w:t>TCDF: Decisão nº 2658/2021</w:t>
      </w:r>
      <w:r>
        <w:rPr>
          <w:sz w:val="24"/>
        </w:rPr>
        <w:t xml:space="preserve"> </w:t>
      </w:r>
    </w:p>
    <w:p w14:paraId="3ED4F2FE" w14:textId="77777777" w:rsidR="001A479A" w:rsidRDefault="00000000">
      <w:pPr>
        <w:spacing w:after="0"/>
        <w:ind w:left="708"/>
      </w:pPr>
      <w:r>
        <w:rPr>
          <w:rFonts w:ascii="Segoe UI" w:eastAsia="Segoe UI" w:hAnsi="Segoe UI" w:cs="Segoe UI"/>
          <w:sz w:val="24"/>
        </w:rPr>
        <w:t xml:space="preserve"> </w:t>
      </w:r>
    </w:p>
    <w:p w14:paraId="0A7AC73A" w14:textId="77777777" w:rsidR="001A479A" w:rsidRDefault="00000000">
      <w:pPr>
        <w:spacing w:after="5" w:line="250" w:lineRule="auto"/>
        <w:ind w:left="703" w:hanging="10"/>
        <w:jc w:val="both"/>
      </w:pPr>
      <w:r>
        <w:rPr>
          <w:b/>
          <w:sz w:val="24"/>
        </w:rPr>
        <w:t xml:space="preserve">Legislação relacionada: </w:t>
      </w:r>
      <w:r>
        <w:rPr>
          <w:sz w:val="24"/>
        </w:rPr>
        <w:t xml:space="preserve"> </w:t>
      </w:r>
    </w:p>
    <w:p w14:paraId="2339C474" w14:textId="77777777" w:rsidR="001A479A" w:rsidRDefault="00000000">
      <w:pPr>
        <w:spacing w:after="3" w:line="253" w:lineRule="auto"/>
        <w:ind w:left="703" w:hanging="10"/>
      </w:pPr>
      <w:r>
        <w:rPr>
          <w:rFonts w:ascii="Segoe UI" w:eastAsia="Segoe UI" w:hAnsi="Segoe UI" w:cs="Segoe UI"/>
          <w:color w:val="0563C1"/>
          <w:sz w:val="24"/>
          <w:u w:val="single" w:color="0563C1"/>
        </w:rPr>
        <w:t>Lei nº 13.303/2016, Art. 29, XV.</w:t>
      </w:r>
      <w:r>
        <w:rPr>
          <w:sz w:val="24"/>
        </w:rPr>
        <w:t xml:space="preserve"> </w:t>
      </w:r>
    </w:p>
    <w:p w14:paraId="7A325B72" w14:textId="77777777" w:rsidR="001A479A" w:rsidRDefault="00000000">
      <w:pPr>
        <w:spacing w:after="3" w:line="253" w:lineRule="auto"/>
        <w:ind w:left="703" w:hanging="10"/>
      </w:pPr>
      <w:r>
        <w:rPr>
          <w:rFonts w:ascii="Segoe UI" w:eastAsia="Segoe UI" w:hAnsi="Segoe UI" w:cs="Segoe UI"/>
          <w:color w:val="0563C1"/>
          <w:sz w:val="24"/>
          <w:u w:val="single" w:color="0563C1"/>
        </w:rPr>
        <w:t>Lei nº 13.303/2016, Art. 30,  § 3º.</w:t>
      </w:r>
      <w:r>
        <w:rPr>
          <w:rFonts w:ascii="Segoe UI" w:eastAsia="Segoe UI" w:hAnsi="Segoe UI" w:cs="Segoe UI"/>
          <w:sz w:val="24"/>
        </w:rPr>
        <w:t xml:space="preserve"> </w:t>
      </w:r>
    </w:p>
    <w:p w14:paraId="78EB254A" w14:textId="77777777" w:rsidR="001A479A" w:rsidRDefault="00000000">
      <w:pPr>
        <w:spacing w:after="3" w:line="253" w:lineRule="auto"/>
        <w:ind w:left="703" w:hanging="10"/>
      </w:pPr>
      <w:r>
        <w:rPr>
          <w:rFonts w:ascii="Segoe UI" w:eastAsia="Segoe UI" w:hAnsi="Segoe UI" w:cs="Segoe UI"/>
          <w:color w:val="0563C1"/>
          <w:sz w:val="24"/>
          <w:u w:val="single" w:color="0563C1"/>
        </w:rPr>
        <w:t>Lei nº 13.303/2016, Art. 31.</w:t>
      </w:r>
      <w:r>
        <w:rPr>
          <w:sz w:val="24"/>
        </w:rPr>
        <w:t xml:space="preserve"> </w:t>
      </w:r>
    </w:p>
    <w:p w14:paraId="700271E7" w14:textId="77777777" w:rsidR="001A479A" w:rsidRDefault="00000000">
      <w:pPr>
        <w:spacing w:after="3" w:line="253" w:lineRule="auto"/>
        <w:ind w:left="703" w:hanging="10"/>
      </w:pPr>
      <w:r>
        <w:rPr>
          <w:rFonts w:ascii="Segoe UI" w:eastAsia="Segoe UI" w:hAnsi="Segoe UI" w:cs="Segoe UI"/>
          <w:color w:val="0563C1"/>
          <w:sz w:val="24"/>
          <w:u w:val="single" w:color="0563C1"/>
        </w:rPr>
        <w:t>Lei Orgânica do DF, Art. 19.</w:t>
      </w:r>
      <w:r>
        <w:rPr>
          <w:rFonts w:ascii="Segoe UI" w:eastAsia="Segoe UI" w:hAnsi="Segoe UI" w:cs="Segoe UI"/>
          <w:color w:val="0563C1"/>
          <w:sz w:val="24"/>
        </w:rPr>
        <w:t xml:space="preserve"> </w:t>
      </w:r>
    </w:p>
    <w:p w14:paraId="28D8AC05" w14:textId="77777777" w:rsidR="001A479A" w:rsidRDefault="00000000">
      <w:pPr>
        <w:spacing w:after="326"/>
        <w:ind w:left="699"/>
      </w:pPr>
      <w:r>
        <w:rPr>
          <w:rFonts w:ascii="Segoe UI" w:eastAsia="Segoe UI" w:hAnsi="Segoe UI" w:cs="Segoe UI"/>
          <w:sz w:val="24"/>
        </w:rPr>
        <w:t xml:space="preserve"> </w:t>
      </w:r>
    </w:p>
    <w:p w14:paraId="1B4C1476" w14:textId="77777777" w:rsidR="001A479A" w:rsidRDefault="00000000">
      <w:pPr>
        <w:numPr>
          <w:ilvl w:val="0"/>
          <w:numId w:val="1"/>
        </w:numPr>
        <w:spacing w:after="5" w:line="250" w:lineRule="auto"/>
        <w:ind w:hanging="1205"/>
        <w:jc w:val="both"/>
      </w:pPr>
      <w:r>
        <w:rPr>
          <w:b/>
          <w:sz w:val="24"/>
        </w:rPr>
        <w:t xml:space="preserve">LICITAÇÃO. PROCESSUAL. CENTRAIS DE ABASTECIMENTO DO DISTRITO FEDERAL (CEASA). </w:t>
      </w:r>
    </w:p>
    <w:p w14:paraId="50B9A1C6" w14:textId="77777777" w:rsidR="001A479A" w:rsidRDefault="00000000">
      <w:pPr>
        <w:spacing w:after="5" w:line="250" w:lineRule="auto"/>
        <w:ind w:left="703" w:hanging="10"/>
        <w:jc w:val="both"/>
      </w:pPr>
      <w:r>
        <w:rPr>
          <w:b/>
          <w:sz w:val="24"/>
        </w:rPr>
        <w:lastRenderedPageBreak/>
        <w:t xml:space="preserve">REPRESENTAÇÃO. MÉRITO. PROCEDÊNCIA. TUTELA DE URGÊNCIA. CONFIRMAÇÃO. QUALIFICAÇÃO TÉCNICA. PRINCÍPIO DA VINCULAÇÃO AO INSTRUMENTO CONVOCATÓRIO. PRINCÍPIO DO JULGAMENTO OBJETIVO. PRINCÍPIO DA ISONOMIA. HABILITAÇÃO. ATA DE REGISTRO DE PREÇOS. ANULAÇÃO. CONSEQUÊNCIA. REGULARIZAÇÃO. EDITAL. EXAME. ATO DE OFÍCIO. PRECLUSÃO. INEXISTÊNCIA. </w:t>
      </w:r>
    </w:p>
    <w:p w14:paraId="7C7FF787" w14:textId="77777777" w:rsidR="001A479A" w:rsidRDefault="00000000">
      <w:pPr>
        <w:spacing w:after="0"/>
        <w:ind w:left="1416"/>
      </w:pPr>
      <w:r>
        <w:rPr>
          <w:b/>
          <w:sz w:val="24"/>
        </w:rPr>
        <w:t xml:space="preserve"> </w:t>
      </w:r>
    </w:p>
    <w:p w14:paraId="5447E4A3" w14:textId="77777777" w:rsidR="001A479A" w:rsidRDefault="00000000">
      <w:pPr>
        <w:numPr>
          <w:ilvl w:val="1"/>
          <w:numId w:val="1"/>
        </w:numPr>
        <w:spacing w:after="5" w:line="249" w:lineRule="auto"/>
        <w:ind w:firstLine="698"/>
        <w:jc w:val="both"/>
      </w:pPr>
      <w:r>
        <w:rPr>
          <w:sz w:val="24"/>
        </w:rPr>
        <w:t xml:space="preserve">Não se admite a desconsideração de requisito de qualificação técnica estabelecido no edital para fins de habilitar licitante que não o atenda, por constituir afronta aos princípios da vinculação ao instrumento convocatório, da isonomia e do julgamento objetivo (Lei Federal nº 13.303/2016, art. 31).  </w:t>
      </w:r>
    </w:p>
    <w:p w14:paraId="651B1EF3" w14:textId="77777777" w:rsidR="001A479A" w:rsidRDefault="00000000">
      <w:pPr>
        <w:spacing w:after="0"/>
        <w:ind w:left="1416"/>
      </w:pPr>
      <w:r>
        <w:rPr>
          <w:sz w:val="24"/>
        </w:rPr>
        <w:t xml:space="preserve"> </w:t>
      </w:r>
    </w:p>
    <w:p w14:paraId="5C7F3308" w14:textId="77777777" w:rsidR="001A479A" w:rsidRDefault="00000000">
      <w:pPr>
        <w:numPr>
          <w:ilvl w:val="1"/>
          <w:numId w:val="1"/>
        </w:numPr>
        <w:spacing w:after="5" w:line="249" w:lineRule="auto"/>
        <w:ind w:firstLine="698"/>
        <w:jc w:val="both"/>
      </w:pPr>
      <w:r>
        <w:rPr>
          <w:sz w:val="24"/>
        </w:rPr>
        <w:t xml:space="preserve">Reconhecida a invalidade do ato de habilitação da empresa cuja proposta foi declarada vencedora, cumpre ao órgão ou à entidade licitante anular este ato e todos os dele dependentes.  </w:t>
      </w:r>
    </w:p>
    <w:p w14:paraId="16D5A32F" w14:textId="77777777" w:rsidR="001A479A" w:rsidRDefault="00000000">
      <w:pPr>
        <w:spacing w:after="0"/>
        <w:ind w:left="1416"/>
      </w:pPr>
      <w:r>
        <w:rPr>
          <w:sz w:val="24"/>
        </w:rPr>
        <w:t xml:space="preserve"> </w:t>
      </w:r>
    </w:p>
    <w:p w14:paraId="1CE1FD6B" w14:textId="77777777" w:rsidR="001A479A" w:rsidRDefault="00000000">
      <w:pPr>
        <w:numPr>
          <w:ilvl w:val="1"/>
          <w:numId w:val="1"/>
        </w:numPr>
        <w:spacing w:after="5" w:line="249" w:lineRule="auto"/>
        <w:ind w:firstLine="698"/>
        <w:jc w:val="both"/>
      </w:pPr>
      <w:r>
        <w:rPr>
          <w:sz w:val="24"/>
        </w:rPr>
        <w:t xml:space="preserve">Não incide o art. 20, do Decreto-Lei nº 4.657/1942 (LINDB), quando a decisão não se basear unicamente em valores jurídicos abstratos.  </w:t>
      </w:r>
    </w:p>
    <w:p w14:paraId="24C3C651" w14:textId="77777777" w:rsidR="001A479A" w:rsidRDefault="00000000">
      <w:pPr>
        <w:spacing w:after="0"/>
        <w:ind w:left="1416"/>
      </w:pPr>
      <w:r>
        <w:rPr>
          <w:sz w:val="24"/>
        </w:rPr>
        <w:t xml:space="preserve"> </w:t>
      </w:r>
    </w:p>
    <w:p w14:paraId="059BE01B" w14:textId="77777777" w:rsidR="001A479A" w:rsidRDefault="00000000">
      <w:pPr>
        <w:numPr>
          <w:ilvl w:val="1"/>
          <w:numId w:val="1"/>
        </w:numPr>
        <w:spacing w:after="5" w:line="249" w:lineRule="auto"/>
        <w:ind w:firstLine="698"/>
        <w:jc w:val="both"/>
      </w:pPr>
      <w:r>
        <w:rPr>
          <w:sz w:val="24"/>
        </w:rPr>
        <w:t xml:space="preserve">Declarada a invalidade de ato praticado no âmbito de processo licitatório, cumpre ao Tribunal considerar suas consequências e indicar as condições para a regularização do procedimento, determinando, quando possível, a adoção de medidas que viabilizem o prosseguimento da licitação, de modo a minimizar os prejuízos ao Estado e à sociedade (Decreto-Lei nº 4.657/1942 LINDB, art. 21, caput e parágrafo único).  </w:t>
      </w:r>
    </w:p>
    <w:p w14:paraId="47F114A5" w14:textId="77777777" w:rsidR="001A479A" w:rsidRDefault="00000000">
      <w:pPr>
        <w:spacing w:after="0"/>
        <w:ind w:left="1416"/>
      </w:pPr>
      <w:r>
        <w:rPr>
          <w:sz w:val="24"/>
        </w:rPr>
        <w:t xml:space="preserve"> </w:t>
      </w:r>
    </w:p>
    <w:p w14:paraId="06B1D78F" w14:textId="77777777" w:rsidR="001A479A" w:rsidRDefault="00000000">
      <w:pPr>
        <w:numPr>
          <w:ilvl w:val="1"/>
          <w:numId w:val="1"/>
        </w:numPr>
        <w:spacing w:after="5" w:line="249" w:lineRule="auto"/>
        <w:ind w:firstLine="698"/>
        <w:jc w:val="both"/>
      </w:pPr>
      <w:r>
        <w:rPr>
          <w:sz w:val="24"/>
        </w:rPr>
        <w:t xml:space="preserve">O exame ex officio de edital não impede posterior fiscalização do instrumento convocatório e da licitação quanto a possíveis irregularidades sobre as quais o Tribunal ainda não se manifestou expressamente. </w:t>
      </w:r>
    </w:p>
    <w:p w14:paraId="6FA745B7" w14:textId="77777777" w:rsidR="001A479A" w:rsidRDefault="00000000">
      <w:pPr>
        <w:spacing w:after="0"/>
        <w:ind w:left="1416"/>
      </w:pPr>
      <w:r>
        <w:rPr>
          <w:sz w:val="24"/>
        </w:rPr>
        <w:t xml:space="preserve"> </w:t>
      </w:r>
    </w:p>
    <w:p w14:paraId="7F2A633B" w14:textId="77777777" w:rsidR="001A479A" w:rsidRDefault="00000000">
      <w:pPr>
        <w:spacing w:after="5" w:line="250" w:lineRule="auto"/>
        <w:ind w:left="703" w:hanging="10"/>
        <w:jc w:val="both"/>
      </w:pPr>
      <w:r>
        <w:rPr>
          <w:b/>
          <w:sz w:val="24"/>
        </w:rPr>
        <w:t xml:space="preserve">Relator:                                                                 Sessão: </w:t>
      </w:r>
    </w:p>
    <w:p w14:paraId="182DC20D" w14:textId="77777777" w:rsidR="001A479A" w:rsidRDefault="00000000">
      <w:pPr>
        <w:spacing w:after="5" w:line="250" w:lineRule="auto"/>
        <w:ind w:left="703" w:hanging="10"/>
        <w:jc w:val="both"/>
      </w:pPr>
      <w:r>
        <w:rPr>
          <w:b/>
          <w:sz w:val="24"/>
        </w:rPr>
        <w:t xml:space="preserve">Antonio Renato Alves Rainha                          ORDINÁRIA nº 5438, de 10/09/2025.   </w:t>
      </w:r>
    </w:p>
    <w:p w14:paraId="2E7A2AB1" w14:textId="77777777" w:rsidR="001A479A" w:rsidRDefault="00000000">
      <w:pPr>
        <w:spacing w:after="5" w:line="250" w:lineRule="auto"/>
        <w:ind w:left="703" w:hanging="10"/>
        <w:jc w:val="both"/>
      </w:pPr>
      <w:r>
        <w:rPr>
          <w:b/>
          <w:sz w:val="24"/>
        </w:rPr>
        <w:t xml:space="preserve">Decisão por unanimidade                                 </w:t>
      </w:r>
      <w:r>
        <w:rPr>
          <w:color w:val="0563C1"/>
          <w:sz w:val="24"/>
          <w:u w:val="single" w:color="0563C1"/>
        </w:rPr>
        <w:t>Proc. nº 9486/2025</w:t>
      </w:r>
      <w:r>
        <w:rPr>
          <w:color w:val="2A69C5"/>
          <w:sz w:val="24"/>
          <w:u w:val="single" w:color="0563C1"/>
        </w:rPr>
        <w:t xml:space="preserve"> - </w:t>
      </w:r>
      <w:r>
        <w:rPr>
          <w:color w:val="0563C1"/>
          <w:sz w:val="24"/>
          <w:u w:val="single" w:color="0563C1"/>
        </w:rPr>
        <w:t>Dec. nº 3475/2025</w:t>
      </w:r>
      <w:r>
        <w:rPr>
          <w:b/>
          <w:sz w:val="24"/>
        </w:rPr>
        <w:t xml:space="preserve"> </w:t>
      </w:r>
    </w:p>
    <w:p w14:paraId="1FC48419" w14:textId="77777777" w:rsidR="001A479A" w:rsidRDefault="00000000">
      <w:pPr>
        <w:spacing w:after="0"/>
        <w:ind w:left="708"/>
      </w:pPr>
      <w:r>
        <w:rPr>
          <w:b/>
          <w:sz w:val="24"/>
        </w:rPr>
        <w:t xml:space="preserve"> </w:t>
      </w:r>
    </w:p>
    <w:p w14:paraId="510C649C" w14:textId="77777777" w:rsidR="001A479A" w:rsidRDefault="00000000">
      <w:pPr>
        <w:spacing w:after="3" w:line="253" w:lineRule="auto"/>
        <w:ind w:left="703" w:right="7047" w:hanging="10"/>
      </w:pPr>
      <w:r>
        <w:rPr>
          <w:b/>
          <w:sz w:val="24"/>
        </w:rPr>
        <w:t xml:space="preserve">Legislação relacionada: </w:t>
      </w:r>
      <w:r>
        <w:rPr>
          <w:sz w:val="24"/>
        </w:rPr>
        <w:t xml:space="preserve"> </w:t>
      </w:r>
      <w:r>
        <w:rPr>
          <w:rFonts w:ascii="Segoe UI" w:eastAsia="Segoe UI" w:hAnsi="Segoe UI" w:cs="Segoe UI"/>
          <w:color w:val="0563C1"/>
          <w:sz w:val="24"/>
          <w:u w:val="single" w:color="0563C1"/>
        </w:rPr>
        <w:t>Lei nº 13.303/2016, Art. 31.</w:t>
      </w:r>
      <w:r>
        <w:rPr>
          <w:sz w:val="24"/>
        </w:rPr>
        <w:t xml:space="preserve"> </w:t>
      </w:r>
    </w:p>
    <w:p w14:paraId="637C90FB" w14:textId="77777777" w:rsidR="001A479A" w:rsidRDefault="00000000">
      <w:pPr>
        <w:spacing w:after="3" w:line="253" w:lineRule="auto"/>
        <w:ind w:left="703" w:hanging="10"/>
      </w:pPr>
      <w:r>
        <w:rPr>
          <w:rFonts w:ascii="Segoe UI" w:eastAsia="Segoe UI" w:hAnsi="Segoe UI" w:cs="Segoe UI"/>
          <w:color w:val="0563C1"/>
          <w:sz w:val="24"/>
          <w:u w:val="single" w:color="0563C1"/>
        </w:rPr>
        <w:t>Decreto-lei nº 4.657/1942, Art. 20.</w:t>
      </w:r>
      <w:r>
        <w:rPr>
          <w:sz w:val="24"/>
        </w:rPr>
        <w:t xml:space="preserve"> </w:t>
      </w:r>
    </w:p>
    <w:p w14:paraId="3CD2E4FF" w14:textId="77777777" w:rsidR="001A479A" w:rsidRDefault="00000000">
      <w:pPr>
        <w:spacing w:after="3" w:line="253" w:lineRule="auto"/>
        <w:ind w:left="703" w:hanging="10"/>
      </w:pPr>
      <w:r>
        <w:rPr>
          <w:rFonts w:ascii="Segoe UI" w:eastAsia="Segoe UI" w:hAnsi="Segoe UI" w:cs="Segoe UI"/>
          <w:color w:val="0563C1"/>
          <w:sz w:val="24"/>
          <w:u w:val="single" w:color="0563C1"/>
        </w:rPr>
        <w:t>Decreto-lei nº 4.657/1942, Art. 21.</w:t>
      </w:r>
      <w:r>
        <w:rPr>
          <w:rFonts w:ascii="Segoe UI" w:eastAsia="Segoe UI" w:hAnsi="Segoe UI" w:cs="Segoe UI"/>
          <w:sz w:val="24"/>
        </w:rPr>
        <w:t xml:space="preserve"> </w:t>
      </w:r>
    </w:p>
    <w:p w14:paraId="01A7CF20" w14:textId="77777777" w:rsidR="001A479A" w:rsidRDefault="00000000">
      <w:pPr>
        <w:spacing w:after="326"/>
        <w:ind w:left="699"/>
      </w:pPr>
      <w:r>
        <w:rPr>
          <w:rFonts w:ascii="Segoe UI" w:eastAsia="Segoe UI" w:hAnsi="Segoe UI" w:cs="Segoe UI"/>
          <w:sz w:val="24"/>
        </w:rPr>
        <w:t xml:space="preserve"> </w:t>
      </w:r>
    </w:p>
    <w:p w14:paraId="1DC1B2DA" w14:textId="77777777" w:rsidR="001A479A" w:rsidRDefault="00000000">
      <w:pPr>
        <w:numPr>
          <w:ilvl w:val="0"/>
          <w:numId w:val="1"/>
        </w:numPr>
        <w:spacing w:after="5" w:line="250" w:lineRule="auto"/>
        <w:ind w:hanging="1205"/>
        <w:jc w:val="both"/>
      </w:pPr>
      <w:r>
        <w:rPr>
          <w:b/>
          <w:sz w:val="24"/>
        </w:rPr>
        <w:t xml:space="preserve">INSPEÇÃO. SECRETARIA DE ESTADO DE TURISMO DO DISTRITO FEDERAL. REGIÃO </w:t>
      </w:r>
    </w:p>
    <w:p w14:paraId="2AF71FD4" w14:textId="77777777" w:rsidR="001A479A" w:rsidRDefault="00000000">
      <w:pPr>
        <w:spacing w:after="5" w:line="250" w:lineRule="auto"/>
        <w:ind w:left="703" w:hanging="10"/>
        <w:jc w:val="both"/>
      </w:pPr>
      <w:r>
        <w:rPr>
          <w:b/>
          <w:sz w:val="24"/>
        </w:rPr>
        <w:t xml:space="preserve">ADMINISTRATIVA DE PLANALTINA. LEI FEDERAL N.º 13.019/2014. INADEQUAÇÃO DO CÁLCULO DA REMUNERAÇÃO DOS CONTRATADOS. SUPOSTO FAVORECIMENTO EM RELAÇÕES DE PARENTESCO. </w:t>
      </w:r>
      <w:r>
        <w:rPr>
          <w:b/>
          <w:sz w:val="24"/>
        </w:rPr>
        <w:lastRenderedPageBreak/>
        <w:t xml:space="preserve">PRESTAÇÃO DE SERVIÇOS NÃO COMPATÍVEIS COM O PLANO DE TRABALHO. ANÁLISE DO RELATÓRIO FINAL DE INSPEÇÃO. EXPEDIÇÃO DE DETERMINAÇÕES, ALERTAS E RECOMENDAÇÕES. </w:t>
      </w:r>
    </w:p>
    <w:p w14:paraId="658CC3B2" w14:textId="77777777" w:rsidR="001A479A" w:rsidRDefault="00000000">
      <w:pPr>
        <w:spacing w:after="0"/>
        <w:ind w:left="1416"/>
      </w:pPr>
      <w:r>
        <w:rPr>
          <w:sz w:val="24"/>
        </w:rPr>
        <w:t xml:space="preserve"> </w:t>
      </w:r>
    </w:p>
    <w:p w14:paraId="643C6448" w14:textId="77777777" w:rsidR="001A479A" w:rsidRDefault="00000000">
      <w:pPr>
        <w:numPr>
          <w:ilvl w:val="1"/>
          <w:numId w:val="1"/>
        </w:numPr>
        <w:spacing w:after="5" w:line="249" w:lineRule="auto"/>
        <w:ind w:firstLine="698"/>
        <w:jc w:val="both"/>
      </w:pPr>
      <w:r>
        <w:rPr>
          <w:sz w:val="24"/>
        </w:rPr>
        <w:t xml:space="preserve">A existência de indícios de potencial dano ao erário, em razão da não comprovação da efetiva prestação dos serviços contratados, identificado sumariamente o nexo causal e o elemento subjetivo na conduta dos agentes, impõe a instauração de Tomada de Contas Especial - TCE, para aprofundamento do exame dos fatos.  </w:t>
      </w:r>
    </w:p>
    <w:p w14:paraId="7BE013CA" w14:textId="77777777" w:rsidR="001A479A" w:rsidRDefault="00000000">
      <w:pPr>
        <w:spacing w:after="0"/>
        <w:ind w:left="1416"/>
      </w:pPr>
      <w:r>
        <w:rPr>
          <w:sz w:val="24"/>
        </w:rPr>
        <w:t xml:space="preserve"> </w:t>
      </w:r>
    </w:p>
    <w:p w14:paraId="5E643354" w14:textId="77777777" w:rsidR="001A479A" w:rsidRDefault="00000000">
      <w:pPr>
        <w:numPr>
          <w:ilvl w:val="1"/>
          <w:numId w:val="1"/>
        </w:numPr>
        <w:spacing w:after="5" w:line="249" w:lineRule="auto"/>
        <w:ind w:firstLine="698"/>
        <w:jc w:val="both"/>
      </w:pPr>
      <w:r>
        <w:rPr>
          <w:sz w:val="24"/>
        </w:rPr>
        <w:t xml:space="preserve">A sistemática jurídica estabelecida na Lei Federal n.º 13.019/2014 distingue o regime normativo aplicável à relação da Organização da Sociedade Civil - OSC com a Administração Pública, de índole publicista, daquele que rege os vínculos da OSC com os seus fornecedores e contratados, os quais possuem natureza privada. </w:t>
      </w:r>
    </w:p>
    <w:p w14:paraId="4511FC9A" w14:textId="77777777" w:rsidR="001A479A" w:rsidRDefault="00000000">
      <w:pPr>
        <w:spacing w:after="0"/>
        <w:ind w:left="1416"/>
      </w:pPr>
      <w:r>
        <w:rPr>
          <w:sz w:val="24"/>
        </w:rPr>
        <w:t xml:space="preserve"> </w:t>
      </w:r>
    </w:p>
    <w:p w14:paraId="5E1466AD" w14:textId="77777777" w:rsidR="001A479A" w:rsidRDefault="00000000">
      <w:pPr>
        <w:spacing w:after="5" w:line="250" w:lineRule="auto"/>
        <w:ind w:left="703" w:hanging="10"/>
        <w:jc w:val="both"/>
      </w:pPr>
      <w:r>
        <w:rPr>
          <w:b/>
          <w:sz w:val="24"/>
        </w:rPr>
        <w:t xml:space="preserve">Relator:                                                                 Sessão: </w:t>
      </w:r>
    </w:p>
    <w:p w14:paraId="4FB3E6AB" w14:textId="77777777" w:rsidR="001A479A" w:rsidRDefault="00000000">
      <w:pPr>
        <w:spacing w:after="224" w:line="250" w:lineRule="auto"/>
        <w:ind w:left="703" w:right="1079" w:hanging="10"/>
        <w:jc w:val="both"/>
      </w:pPr>
      <w:r>
        <w:rPr>
          <w:b/>
          <w:sz w:val="24"/>
        </w:rPr>
        <w:t xml:space="preserve">André Clemente Lara de Oliveira                    ORDINÁRIA nº 5444, de 22/10/2025. Decisão por unanimidade                                 </w:t>
      </w:r>
      <w:r>
        <w:rPr>
          <w:color w:val="0563C1"/>
          <w:sz w:val="24"/>
          <w:u w:val="single" w:color="0563C1"/>
        </w:rPr>
        <w:t>Proc. nº 6877/2024</w:t>
      </w:r>
      <w:r>
        <w:rPr>
          <w:color w:val="2A69C5"/>
          <w:sz w:val="24"/>
          <w:u w:val="single" w:color="0563C1"/>
        </w:rPr>
        <w:t xml:space="preserve"> - </w:t>
      </w:r>
      <w:r>
        <w:rPr>
          <w:color w:val="0563C1"/>
          <w:sz w:val="24"/>
          <w:u w:val="single" w:color="0563C1"/>
        </w:rPr>
        <w:t>Dec. nº 4070/2025</w:t>
      </w:r>
      <w:r>
        <w:rPr>
          <w:b/>
          <w:sz w:val="24"/>
        </w:rPr>
        <w:t xml:space="preserve"> </w:t>
      </w:r>
    </w:p>
    <w:p w14:paraId="43A51692" w14:textId="77777777" w:rsidR="001A479A" w:rsidRDefault="00000000">
      <w:pPr>
        <w:spacing w:after="0"/>
        <w:ind w:left="708"/>
      </w:pPr>
      <w:r>
        <w:rPr>
          <w:b/>
          <w:color w:val="4A8FA1"/>
          <w:sz w:val="40"/>
        </w:rPr>
        <w:t xml:space="preserve"> </w:t>
      </w:r>
    </w:p>
    <w:p w14:paraId="2F5FC0D2" w14:textId="77777777" w:rsidR="001A479A" w:rsidRDefault="00000000">
      <w:pPr>
        <w:spacing w:after="99" w:line="250" w:lineRule="auto"/>
        <w:ind w:left="703" w:right="7182" w:hanging="10"/>
        <w:jc w:val="both"/>
      </w:pPr>
      <w:r>
        <w:rPr>
          <w:b/>
          <w:sz w:val="24"/>
        </w:rPr>
        <w:t xml:space="preserve">Legislação relacionada: </w:t>
      </w:r>
      <w:r>
        <w:rPr>
          <w:sz w:val="24"/>
        </w:rPr>
        <w:t xml:space="preserve"> </w:t>
      </w:r>
      <w:r>
        <w:rPr>
          <w:rFonts w:ascii="Segoe UI" w:eastAsia="Segoe UI" w:hAnsi="Segoe UI" w:cs="Segoe UI"/>
          <w:color w:val="0563C1"/>
          <w:sz w:val="24"/>
          <w:u w:val="single" w:color="0563C1"/>
        </w:rPr>
        <w:t>Lei nº 13.019/2014.</w:t>
      </w:r>
      <w:r>
        <w:rPr>
          <w:sz w:val="24"/>
        </w:rPr>
        <w:t xml:space="preserve"> </w:t>
      </w:r>
    </w:p>
    <w:p w14:paraId="077513B5" w14:textId="77777777" w:rsidR="001A479A" w:rsidRDefault="00000000">
      <w:pPr>
        <w:spacing w:after="0"/>
        <w:ind w:left="699"/>
      </w:pPr>
      <w:r>
        <w:rPr>
          <w:b/>
          <w:color w:val="6EABBF"/>
          <w:sz w:val="32"/>
        </w:rPr>
        <w:t xml:space="preserve"> </w:t>
      </w:r>
    </w:p>
    <w:p w14:paraId="3181AAF2" w14:textId="77777777" w:rsidR="001A479A" w:rsidRDefault="00000000">
      <w:pPr>
        <w:spacing w:after="81"/>
        <w:ind w:left="699"/>
      </w:pPr>
      <w:r>
        <w:rPr>
          <w:rFonts w:ascii="Segoe UI" w:eastAsia="Segoe UI" w:hAnsi="Segoe UI" w:cs="Segoe UI"/>
          <w:sz w:val="24"/>
        </w:rPr>
        <w:t xml:space="preserve"> </w:t>
      </w:r>
    </w:p>
    <w:p w14:paraId="5687D57D" w14:textId="77777777" w:rsidR="001A479A" w:rsidRDefault="00000000">
      <w:pPr>
        <w:spacing w:after="622"/>
      </w:pPr>
      <w:r>
        <w:rPr>
          <w:b/>
          <w:color w:val="6EABBF"/>
          <w:sz w:val="32"/>
        </w:rPr>
        <w:t xml:space="preserve">Contas (setembro a outubro/2025) </w:t>
      </w:r>
    </w:p>
    <w:p w14:paraId="3415F281" w14:textId="77777777" w:rsidR="001A479A" w:rsidRDefault="00000000">
      <w:pPr>
        <w:tabs>
          <w:tab w:val="center" w:pos="287"/>
          <w:tab w:val="right" w:pos="10588"/>
        </w:tabs>
        <w:spacing w:after="5" w:line="250" w:lineRule="auto"/>
      </w:pPr>
      <w:r>
        <w:tab/>
      </w:r>
      <w:r>
        <w:rPr>
          <w:b/>
          <w:color w:val="4A8FA1"/>
          <w:sz w:val="40"/>
        </w:rPr>
        <w:t>1</w:t>
      </w:r>
      <w:r>
        <w:rPr>
          <w:color w:val="004364"/>
          <w:sz w:val="40"/>
        </w:rPr>
        <w:t xml:space="preserve">   </w:t>
      </w:r>
      <w:r>
        <w:rPr>
          <w:sz w:val="24"/>
        </w:rPr>
        <w:t xml:space="preserve">  </w:t>
      </w:r>
      <w:r>
        <w:rPr>
          <w:sz w:val="24"/>
        </w:rPr>
        <w:tab/>
      </w:r>
      <w:r>
        <w:rPr>
          <w:b/>
          <w:sz w:val="24"/>
        </w:rPr>
        <w:t xml:space="preserve">CONTAS. TRANSPORTE URBANO DO DISTRITO FEDERAL. DFTRANS. SECRETARIA DE ESTADO </w:t>
      </w:r>
    </w:p>
    <w:p w14:paraId="49050D63" w14:textId="77777777" w:rsidR="001A479A" w:rsidRDefault="00000000">
      <w:pPr>
        <w:spacing w:after="5" w:line="250" w:lineRule="auto"/>
        <w:ind w:left="703" w:hanging="10"/>
        <w:jc w:val="both"/>
      </w:pPr>
      <w:r>
        <w:rPr>
          <w:b/>
          <w:sz w:val="24"/>
        </w:rPr>
        <w:t xml:space="preserve">DE TRANSPORTE E MOBILIDADE DO DISTRITO FEDERAL. SEMOB. TOMADA DE CONTAS ESPECIAL. AUDIÊNCIA. RAZÕES DE JUSTIFICATIVA. PROCEDENTES. JULGAMENTO. NECESSÁRIO. EXTENSÃO. REVELIA. CONTAS IRREGULARES. NOTIFICAÇÃO. JUROS DE MORA. INCIDÊNCIA. ORIGEM DO DANO. </w:t>
      </w:r>
    </w:p>
    <w:p w14:paraId="61DF7697" w14:textId="77777777" w:rsidR="001A479A" w:rsidRDefault="00000000">
      <w:pPr>
        <w:spacing w:after="0"/>
        <w:ind w:left="1416"/>
      </w:pPr>
      <w:r>
        <w:rPr>
          <w:sz w:val="24"/>
        </w:rPr>
        <w:t xml:space="preserve"> </w:t>
      </w:r>
    </w:p>
    <w:p w14:paraId="54D560B6" w14:textId="77777777" w:rsidR="001A479A" w:rsidRDefault="00000000">
      <w:pPr>
        <w:spacing w:after="5" w:line="249" w:lineRule="auto"/>
        <w:ind w:left="1416"/>
        <w:jc w:val="both"/>
      </w:pPr>
      <w:r>
        <w:rPr>
          <w:sz w:val="24"/>
        </w:rPr>
        <w:t xml:space="preserve">1) A declaração de revelia do responsável dispensa a cientificação para recolhimento do débito </w:t>
      </w:r>
    </w:p>
    <w:p w14:paraId="18EC0880" w14:textId="77777777" w:rsidR="001A479A" w:rsidRDefault="00000000">
      <w:pPr>
        <w:spacing w:after="5" w:line="249" w:lineRule="auto"/>
        <w:ind w:left="693"/>
        <w:jc w:val="both"/>
      </w:pPr>
      <w:r>
        <w:rPr>
          <w:sz w:val="24"/>
        </w:rPr>
        <w:t xml:space="preserve">e permite o imediato julgamento pela irregularidade das contas, com a notificação para recolhimento.  </w:t>
      </w:r>
    </w:p>
    <w:p w14:paraId="320EDCEF" w14:textId="77777777" w:rsidR="001A479A" w:rsidRDefault="00000000">
      <w:pPr>
        <w:spacing w:after="0"/>
        <w:ind w:left="1416"/>
      </w:pPr>
      <w:r>
        <w:rPr>
          <w:sz w:val="24"/>
        </w:rPr>
        <w:t xml:space="preserve"> </w:t>
      </w:r>
    </w:p>
    <w:p w14:paraId="7F3E8CC5" w14:textId="77777777" w:rsidR="001A479A" w:rsidRDefault="00000000">
      <w:pPr>
        <w:numPr>
          <w:ilvl w:val="0"/>
          <w:numId w:val="3"/>
        </w:numPr>
        <w:spacing w:after="5" w:line="249" w:lineRule="auto"/>
        <w:ind w:firstLine="698"/>
        <w:jc w:val="both"/>
      </w:pPr>
      <w:r>
        <w:rPr>
          <w:sz w:val="24"/>
        </w:rPr>
        <w:t xml:space="preserve">Havendo, cumulativamente, imputação de débito e condenação pelo Tribunal, incidirão, além da atualização monetária, juros moratórios, calculados desde a data de ocorrência do dano, nos termos do art. 20, caput, da Lei Complementar nº 1/1994, do art. 198, §1º, do Regimento Interno e da Resolução nº 387/2024 - TCDF. Precedente (Decisão nº 2622/2025)  </w:t>
      </w:r>
    </w:p>
    <w:p w14:paraId="1DAB5A81" w14:textId="77777777" w:rsidR="001A479A" w:rsidRDefault="00000000">
      <w:pPr>
        <w:spacing w:after="0"/>
        <w:ind w:left="1416"/>
      </w:pPr>
      <w:r>
        <w:rPr>
          <w:sz w:val="24"/>
        </w:rPr>
        <w:t xml:space="preserve"> </w:t>
      </w:r>
    </w:p>
    <w:p w14:paraId="51BBC0EF" w14:textId="77777777" w:rsidR="001A479A" w:rsidRDefault="00000000">
      <w:pPr>
        <w:numPr>
          <w:ilvl w:val="0"/>
          <w:numId w:val="3"/>
        </w:numPr>
        <w:spacing w:after="5" w:line="249" w:lineRule="auto"/>
        <w:ind w:firstLine="698"/>
        <w:jc w:val="both"/>
      </w:pPr>
      <w:r>
        <w:rPr>
          <w:sz w:val="24"/>
        </w:rPr>
        <w:lastRenderedPageBreak/>
        <w:t xml:space="preserve">Em sede de Tomada de Contas Especial, a audiência de responsável demanda o julgamento das contas, com base em interpretação analógica do §10 do art. 59 da Instrução Normativa nº 03/2021 - TCDF. Precedente (Decisão nº 3010/2025). </w:t>
      </w:r>
    </w:p>
    <w:p w14:paraId="2AE561E6" w14:textId="77777777" w:rsidR="001A479A" w:rsidRDefault="00000000">
      <w:pPr>
        <w:spacing w:after="0"/>
        <w:ind w:left="1416"/>
      </w:pPr>
      <w:r>
        <w:rPr>
          <w:sz w:val="24"/>
        </w:rPr>
        <w:t xml:space="preserve"> </w:t>
      </w:r>
    </w:p>
    <w:p w14:paraId="3CE97C90" w14:textId="77777777" w:rsidR="001A479A" w:rsidRDefault="00000000">
      <w:pPr>
        <w:spacing w:after="5" w:line="250" w:lineRule="auto"/>
        <w:ind w:left="703" w:hanging="10"/>
        <w:jc w:val="both"/>
      </w:pPr>
      <w:r>
        <w:rPr>
          <w:b/>
          <w:sz w:val="24"/>
        </w:rPr>
        <w:t xml:space="preserve">Relator:                                                                 Sessão: </w:t>
      </w:r>
    </w:p>
    <w:p w14:paraId="645C6924" w14:textId="77777777" w:rsidR="001A479A" w:rsidRDefault="00000000">
      <w:pPr>
        <w:spacing w:after="5" w:line="250" w:lineRule="auto"/>
        <w:ind w:left="703" w:hanging="10"/>
        <w:jc w:val="both"/>
      </w:pPr>
      <w:r>
        <w:rPr>
          <w:b/>
          <w:sz w:val="24"/>
        </w:rPr>
        <w:t xml:space="preserve">Vinícius Cardoso De Pinho Fragoso                ORDINÁRIA nº 5438, de 10/09/2025. </w:t>
      </w:r>
    </w:p>
    <w:p w14:paraId="483A7932" w14:textId="77777777" w:rsidR="001A479A" w:rsidRDefault="00000000">
      <w:pPr>
        <w:spacing w:after="5" w:line="250" w:lineRule="auto"/>
        <w:ind w:left="703" w:hanging="10"/>
        <w:jc w:val="both"/>
      </w:pPr>
      <w:r>
        <w:rPr>
          <w:b/>
          <w:sz w:val="24"/>
        </w:rPr>
        <w:t xml:space="preserve">Decisão por unanimidade                                 </w:t>
      </w:r>
      <w:r>
        <w:rPr>
          <w:color w:val="0563C1"/>
          <w:sz w:val="24"/>
          <w:u w:val="single" w:color="0563C1"/>
        </w:rPr>
        <w:t>Proc. nº 13334/2023</w:t>
      </w:r>
      <w:r>
        <w:rPr>
          <w:color w:val="2A69C5"/>
          <w:sz w:val="24"/>
          <w:u w:val="single" w:color="0563C1"/>
        </w:rPr>
        <w:t xml:space="preserve"> - </w:t>
      </w:r>
      <w:r>
        <w:rPr>
          <w:color w:val="0563C1"/>
          <w:sz w:val="24"/>
          <w:u w:val="single" w:color="0563C1"/>
        </w:rPr>
        <w:t>Dec. nº 3582/2025</w:t>
      </w:r>
      <w:r>
        <w:rPr>
          <w:b/>
          <w:sz w:val="24"/>
        </w:rPr>
        <w:t xml:space="preserve"> </w:t>
      </w:r>
    </w:p>
    <w:p w14:paraId="06485B51" w14:textId="77777777" w:rsidR="001A479A" w:rsidRDefault="00000000">
      <w:pPr>
        <w:spacing w:after="0"/>
        <w:ind w:left="708"/>
      </w:pPr>
      <w:r>
        <w:rPr>
          <w:b/>
          <w:sz w:val="24"/>
        </w:rPr>
        <w:t xml:space="preserve"> </w:t>
      </w:r>
    </w:p>
    <w:p w14:paraId="20E3F856" w14:textId="77777777" w:rsidR="001A479A" w:rsidRDefault="00000000">
      <w:pPr>
        <w:spacing w:after="5" w:line="250" w:lineRule="auto"/>
        <w:ind w:left="703" w:hanging="10"/>
        <w:jc w:val="both"/>
      </w:pPr>
      <w:r>
        <w:rPr>
          <w:b/>
          <w:sz w:val="24"/>
        </w:rPr>
        <w:t xml:space="preserve">Decisões relacionadas: </w:t>
      </w:r>
      <w:r>
        <w:rPr>
          <w:sz w:val="24"/>
        </w:rPr>
        <w:t xml:space="preserve"> </w:t>
      </w:r>
    </w:p>
    <w:p w14:paraId="64BAC0C6" w14:textId="77777777" w:rsidR="001A479A" w:rsidRDefault="00000000">
      <w:pPr>
        <w:spacing w:after="3" w:line="253" w:lineRule="auto"/>
        <w:ind w:left="703" w:hanging="10"/>
      </w:pPr>
      <w:r>
        <w:rPr>
          <w:rFonts w:ascii="Segoe UI" w:eastAsia="Segoe UI" w:hAnsi="Segoe UI" w:cs="Segoe UI"/>
          <w:color w:val="0563C1"/>
          <w:sz w:val="24"/>
          <w:u w:val="single" w:color="0563C1"/>
        </w:rPr>
        <w:t>TCDF: Decisão nº 3010/2025</w:t>
      </w:r>
      <w:r>
        <w:rPr>
          <w:sz w:val="24"/>
        </w:rPr>
        <w:t xml:space="preserve"> </w:t>
      </w:r>
    </w:p>
    <w:p w14:paraId="6B825B59" w14:textId="77777777" w:rsidR="001A479A" w:rsidRDefault="00000000">
      <w:pPr>
        <w:spacing w:after="3" w:line="253" w:lineRule="auto"/>
        <w:ind w:left="703" w:hanging="10"/>
      </w:pPr>
      <w:r>
        <w:rPr>
          <w:rFonts w:ascii="Segoe UI" w:eastAsia="Segoe UI" w:hAnsi="Segoe UI" w:cs="Segoe UI"/>
          <w:color w:val="0563C1"/>
          <w:sz w:val="24"/>
          <w:u w:val="single" w:color="0563C1"/>
        </w:rPr>
        <w:t>TCDF: Decisão nº 2622/2015</w:t>
      </w:r>
      <w:r>
        <w:rPr>
          <w:sz w:val="24"/>
        </w:rPr>
        <w:t xml:space="preserve"> </w:t>
      </w:r>
    </w:p>
    <w:p w14:paraId="02F742FF" w14:textId="77777777" w:rsidR="001A479A" w:rsidRDefault="00000000">
      <w:pPr>
        <w:spacing w:after="0"/>
        <w:ind w:left="708"/>
      </w:pPr>
      <w:r>
        <w:rPr>
          <w:rFonts w:ascii="Segoe UI" w:eastAsia="Segoe UI" w:hAnsi="Segoe UI" w:cs="Segoe UI"/>
          <w:sz w:val="24"/>
        </w:rPr>
        <w:t xml:space="preserve"> </w:t>
      </w:r>
    </w:p>
    <w:p w14:paraId="62D1E635" w14:textId="77777777" w:rsidR="001A479A" w:rsidRDefault="00000000">
      <w:pPr>
        <w:spacing w:after="5" w:line="250" w:lineRule="auto"/>
        <w:ind w:left="703" w:hanging="10"/>
        <w:jc w:val="both"/>
      </w:pPr>
      <w:r>
        <w:rPr>
          <w:b/>
          <w:sz w:val="24"/>
        </w:rPr>
        <w:t>Precedentes externos:</w:t>
      </w:r>
      <w:r>
        <w:rPr>
          <w:sz w:val="24"/>
        </w:rPr>
        <w:t xml:space="preserve"> </w:t>
      </w:r>
    </w:p>
    <w:p w14:paraId="29797A97" w14:textId="77777777" w:rsidR="001A479A" w:rsidRDefault="00000000">
      <w:pPr>
        <w:spacing w:after="3" w:line="253" w:lineRule="auto"/>
        <w:ind w:left="703" w:hanging="10"/>
      </w:pPr>
      <w:r>
        <w:rPr>
          <w:rFonts w:ascii="Segoe UI" w:eastAsia="Segoe UI" w:hAnsi="Segoe UI" w:cs="Segoe UI"/>
          <w:color w:val="0563C1"/>
          <w:sz w:val="24"/>
          <w:u w:val="single" w:color="0563C1"/>
        </w:rPr>
        <w:t>TCU: Acórdão 2460/2021 - Plenário</w:t>
      </w:r>
      <w:r>
        <w:rPr>
          <w:sz w:val="24"/>
        </w:rPr>
        <w:t xml:space="preserve"> </w:t>
      </w:r>
    </w:p>
    <w:p w14:paraId="3460BC96" w14:textId="77777777" w:rsidR="001A479A" w:rsidRDefault="00000000">
      <w:pPr>
        <w:spacing w:after="3" w:line="253" w:lineRule="auto"/>
        <w:ind w:left="703" w:hanging="10"/>
      </w:pPr>
      <w:r>
        <w:rPr>
          <w:rFonts w:ascii="Segoe UI" w:eastAsia="Segoe UI" w:hAnsi="Segoe UI" w:cs="Segoe UI"/>
          <w:color w:val="0563C1"/>
          <w:sz w:val="24"/>
          <w:u w:val="single" w:color="0563C1"/>
        </w:rPr>
        <w:t>TCU: Acórdão 1182/2020 - Plenário</w:t>
      </w:r>
      <w:r>
        <w:rPr>
          <w:sz w:val="24"/>
        </w:rPr>
        <w:t xml:space="preserve"> </w:t>
      </w:r>
    </w:p>
    <w:p w14:paraId="7E2F9623" w14:textId="77777777" w:rsidR="001A479A" w:rsidRDefault="00000000">
      <w:pPr>
        <w:spacing w:after="3" w:line="253" w:lineRule="auto"/>
        <w:ind w:left="703" w:hanging="10"/>
      </w:pPr>
      <w:r>
        <w:rPr>
          <w:rFonts w:ascii="Segoe UI" w:eastAsia="Segoe UI" w:hAnsi="Segoe UI" w:cs="Segoe UI"/>
          <w:color w:val="0563C1"/>
          <w:sz w:val="24"/>
          <w:u w:val="single" w:color="0563C1"/>
        </w:rPr>
        <w:t>TCU: Acórdão 4428/2018 - Primeira Câmara</w:t>
      </w:r>
      <w:r>
        <w:rPr>
          <w:sz w:val="24"/>
        </w:rPr>
        <w:t xml:space="preserve"> </w:t>
      </w:r>
    </w:p>
    <w:p w14:paraId="029FC025" w14:textId="77777777" w:rsidR="001A479A" w:rsidRDefault="00000000">
      <w:pPr>
        <w:spacing w:after="3" w:line="253" w:lineRule="auto"/>
        <w:ind w:left="703" w:hanging="10"/>
      </w:pPr>
      <w:r>
        <w:rPr>
          <w:rFonts w:ascii="Segoe UI" w:eastAsia="Segoe UI" w:hAnsi="Segoe UI" w:cs="Segoe UI"/>
          <w:color w:val="0563C1"/>
          <w:sz w:val="24"/>
          <w:u w:val="single" w:color="0563C1"/>
        </w:rPr>
        <w:t>TCU: Acórdão 5218/2013 - Segunda Câmara</w:t>
      </w:r>
      <w:r>
        <w:rPr>
          <w:rFonts w:ascii="Segoe UI" w:eastAsia="Segoe UI" w:hAnsi="Segoe UI" w:cs="Segoe UI"/>
          <w:sz w:val="24"/>
        </w:rPr>
        <w:t xml:space="preserve"> </w:t>
      </w:r>
    </w:p>
    <w:p w14:paraId="459AEFA2" w14:textId="77777777" w:rsidR="001A479A" w:rsidRDefault="00000000">
      <w:pPr>
        <w:spacing w:after="3" w:line="253" w:lineRule="auto"/>
        <w:ind w:left="703" w:hanging="10"/>
      </w:pPr>
      <w:r>
        <w:rPr>
          <w:rFonts w:ascii="Segoe UI" w:eastAsia="Segoe UI" w:hAnsi="Segoe UI" w:cs="Segoe UI"/>
          <w:color w:val="0563C1"/>
          <w:sz w:val="24"/>
          <w:u w:val="single" w:color="0563C1"/>
        </w:rPr>
        <w:t>TCU: Acórdão 7296/2013 - Primeira Câmara</w:t>
      </w:r>
      <w:r>
        <w:rPr>
          <w:sz w:val="24"/>
        </w:rPr>
        <w:t xml:space="preserve"> </w:t>
      </w:r>
    </w:p>
    <w:p w14:paraId="63E7E96D" w14:textId="77777777" w:rsidR="001A479A" w:rsidRDefault="00000000">
      <w:pPr>
        <w:spacing w:after="0"/>
        <w:ind w:left="708"/>
      </w:pPr>
      <w:r>
        <w:rPr>
          <w:rFonts w:ascii="Segoe UI" w:eastAsia="Segoe UI" w:hAnsi="Segoe UI" w:cs="Segoe UI"/>
          <w:sz w:val="24"/>
        </w:rPr>
        <w:t xml:space="preserve"> </w:t>
      </w:r>
    </w:p>
    <w:p w14:paraId="52F2E7B1" w14:textId="77777777" w:rsidR="001A479A" w:rsidRDefault="00000000">
      <w:pPr>
        <w:spacing w:after="5" w:line="250" w:lineRule="auto"/>
        <w:ind w:left="703" w:hanging="10"/>
        <w:jc w:val="both"/>
      </w:pPr>
      <w:r>
        <w:rPr>
          <w:b/>
          <w:sz w:val="24"/>
        </w:rPr>
        <w:t xml:space="preserve">Legislação relacionada: </w:t>
      </w:r>
      <w:r>
        <w:rPr>
          <w:sz w:val="24"/>
        </w:rPr>
        <w:t xml:space="preserve"> </w:t>
      </w:r>
    </w:p>
    <w:p w14:paraId="4BAF5D1F" w14:textId="77777777" w:rsidR="001A479A" w:rsidRDefault="00000000">
      <w:pPr>
        <w:spacing w:after="3" w:line="253" w:lineRule="auto"/>
        <w:ind w:left="703" w:hanging="10"/>
      </w:pPr>
      <w:r>
        <w:rPr>
          <w:rFonts w:ascii="Segoe UI" w:eastAsia="Segoe UI" w:hAnsi="Segoe UI" w:cs="Segoe UI"/>
          <w:color w:val="0563C1"/>
          <w:sz w:val="24"/>
          <w:u w:val="single" w:color="0563C1"/>
        </w:rPr>
        <w:t>Lei Orgânica do TCDF, Art. 20.</w:t>
      </w:r>
      <w:r>
        <w:rPr>
          <w:sz w:val="24"/>
        </w:rPr>
        <w:t xml:space="preserve"> </w:t>
      </w:r>
    </w:p>
    <w:p w14:paraId="219456B7" w14:textId="77777777" w:rsidR="001A479A" w:rsidRDefault="00000000">
      <w:pPr>
        <w:spacing w:after="3" w:line="253" w:lineRule="auto"/>
        <w:ind w:left="703" w:hanging="10"/>
      </w:pPr>
      <w:r>
        <w:rPr>
          <w:rFonts w:ascii="Segoe UI" w:eastAsia="Segoe UI" w:hAnsi="Segoe UI" w:cs="Segoe UI"/>
          <w:color w:val="0563C1"/>
          <w:sz w:val="24"/>
          <w:u w:val="single" w:color="0563C1"/>
        </w:rPr>
        <w:t>Regimento Interno do TCDF, Art. 198,  § 1º.</w:t>
      </w:r>
      <w:r>
        <w:rPr>
          <w:rFonts w:ascii="Segoe UI" w:eastAsia="Segoe UI" w:hAnsi="Segoe UI" w:cs="Segoe UI"/>
          <w:sz w:val="24"/>
        </w:rPr>
        <w:t xml:space="preserve"> </w:t>
      </w:r>
      <w:r>
        <w:rPr>
          <w:sz w:val="24"/>
        </w:rPr>
        <w:t xml:space="preserve"> </w:t>
      </w:r>
    </w:p>
    <w:p w14:paraId="52CF65E6" w14:textId="77777777" w:rsidR="001A479A" w:rsidRDefault="00000000">
      <w:pPr>
        <w:spacing w:after="3" w:line="253" w:lineRule="auto"/>
        <w:ind w:left="703" w:hanging="10"/>
      </w:pPr>
      <w:r>
        <w:rPr>
          <w:rFonts w:ascii="Segoe UI" w:eastAsia="Segoe UI" w:hAnsi="Segoe UI" w:cs="Segoe UI"/>
          <w:color w:val="0563C1"/>
          <w:sz w:val="24"/>
          <w:u w:val="single" w:color="0563C1"/>
        </w:rPr>
        <w:t>Resolução nº 387/2024, Art. 4º.</w:t>
      </w:r>
      <w:r>
        <w:rPr>
          <w:rFonts w:ascii="Segoe UI" w:eastAsia="Segoe UI" w:hAnsi="Segoe UI" w:cs="Segoe UI"/>
          <w:sz w:val="24"/>
        </w:rPr>
        <w:t xml:space="preserve"> </w:t>
      </w:r>
    </w:p>
    <w:p w14:paraId="798503F7" w14:textId="77777777" w:rsidR="001A479A" w:rsidRDefault="00000000">
      <w:pPr>
        <w:spacing w:after="566"/>
        <w:ind w:left="699"/>
      </w:pPr>
      <w:r>
        <w:rPr>
          <w:rFonts w:ascii="Segoe UI" w:eastAsia="Segoe UI" w:hAnsi="Segoe UI" w:cs="Segoe UI"/>
          <w:sz w:val="24"/>
        </w:rPr>
        <w:t xml:space="preserve"> </w:t>
      </w:r>
    </w:p>
    <w:p w14:paraId="7EF60BA5" w14:textId="77777777" w:rsidR="001A479A" w:rsidRDefault="00000000">
      <w:pPr>
        <w:numPr>
          <w:ilvl w:val="0"/>
          <w:numId w:val="4"/>
        </w:numPr>
        <w:spacing w:after="5" w:line="250" w:lineRule="auto"/>
        <w:ind w:hanging="1205"/>
        <w:jc w:val="both"/>
      </w:pPr>
      <w:r>
        <w:rPr>
          <w:b/>
          <w:sz w:val="24"/>
        </w:rPr>
        <w:t xml:space="preserve">TOMADA DE CONTAS ESPECIAL. EMPRESA BRASILIENSE DE TURISMO. PRESTAÇÃO DE </w:t>
      </w:r>
    </w:p>
    <w:p w14:paraId="4029AEF4" w14:textId="77777777" w:rsidR="001A479A" w:rsidRDefault="00000000">
      <w:pPr>
        <w:spacing w:after="5" w:line="250" w:lineRule="auto"/>
        <w:ind w:left="703" w:hanging="10"/>
        <w:jc w:val="both"/>
      </w:pPr>
      <w:r>
        <w:rPr>
          <w:b/>
          <w:sz w:val="24"/>
        </w:rPr>
        <w:t xml:space="preserve">SERVIÇOS DE INFRAESTRUTURA. VIAS SACRAS DE 2009. SUPOSTAS IRREGULARIDADES. RECURSO DE RECONSIDERAÇÃO. CONHECIMENTO. PRELIMINAR DE MÉRITO. PRESCRIÇÃO. PRETENSÕES PUNITIVA E RESSARCITÓRIA. NÃO OCORRÊNCIA. MÉRITOS RECURSAIS. ORDENADOR DE DESPESA. SEGREGAÇÃO DE FUNÇÕES. CONFIANÇA NA CONDUTA DILIGENTE DOS DEMAIS AGENTES. CULPA IN VIGILANDO. INEXISTÊNCIA. PROVIMENTO. EXECUTOR CONTRATUAL. ATESTADO DE EXECUÇÃO. CARÊNCIA DE PROVAS. FALTA GRAVE. ERRO GROSSEIRO. NÃO PROVIMENTO. PEDIDO DE CÓPIA. DEFERIMENTO. </w:t>
      </w:r>
    </w:p>
    <w:p w14:paraId="1A29A3C7" w14:textId="77777777" w:rsidR="001A479A" w:rsidRDefault="00000000">
      <w:pPr>
        <w:spacing w:after="0"/>
        <w:ind w:left="1416"/>
      </w:pPr>
      <w:r>
        <w:rPr>
          <w:sz w:val="24"/>
        </w:rPr>
        <w:t xml:space="preserve"> </w:t>
      </w:r>
    </w:p>
    <w:p w14:paraId="4A7CDAAA" w14:textId="77777777" w:rsidR="001A479A" w:rsidRDefault="00000000">
      <w:pPr>
        <w:numPr>
          <w:ilvl w:val="1"/>
          <w:numId w:val="5"/>
        </w:numPr>
        <w:spacing w:after="5" w:line="249" w:lineRule="auto"/>
        <w:ind w:firstLine="698"/>
        <w:jc w:val="both"/>
      </w:pPr>
      <w:r>
        <w:rPr>
          <w:sz w:val="24"/>
        </w:rPr>
        <w:t xml:space="preserve">Presentes os requisitos dos arts. 33 da LC n.º 1/94 e 285 do Regimento Interno desta Corte, deve ser conhecido o recurso de reconsideração.  </w:t>
      </w:r>
    </w:p>
    <w:p w14:paraId="32DD8FA3" w14:textId="77777777" w:rsidR="001A479A" w:rsidRDefault="00000000">
      <w:pPr>
        <w:spacing w:after="0"/>
        <w:ind w:left="1416"/>
      </w:pPr>
      <w:r>
        <w:rPr>
          <w:sz w:val="24"/>
        </w:rPr>
        <w:t xml:space="preserve"> </w:t>
      </w:r>
    </w:p>
    <w:p w14:paraId="78DC3EEC" w14:textId="77777777" w:rsidR="001A479A" w:rsidRDefault="00000000">
      <w:pPr>
        <w:numPr>
          <w:ilvl w:val="1"/>
          <w:numId w:val="5"/>
        </w:numPr>
        <w:spacing w:after="5" w:line="249" w:lineRule="auto"/>
        <w:ind w:firstLine="698"/>
        <w:jc w:val="both"/>
      </w:pPr>
      <w:r>
        <w:rPr>
          <w:sz w:val="24"/>
        </w:rPr>
        <w:lastRenderedPageBreak/>
        <w:t xml:space="preserve">Há apuração inequívoca quando a Administração Pública investiga as irregularidades identificadas na prestação de contas, mesmo que pendente, à época, a identificação dos responsáveis e a quantificação do prejuízo ao erário.  </w:t>
      </w:r>
    </w:p>
    <w:p w14:paraId="3466D45A" w14:textId="77777777" w:rsidR="001A479A" w:rsidRDefault="00000000">
      <w:pPr>
        <w:spacing w:after="0"/>
        <w:ind w:left="1416"/>
      </w:pPr>
      <w:r>
        <w:rPr>
          <w:sz w:val="24"/>
        </w:rPr>
        <w:t xml:space="preserve"> </w:t>
      </w:r>
    </w:p>
    <w:p w14:paraId="67ED5AD5" w14:textId="77777777" w:rsidR="001A479A" w:rsidRDefault="00000000">
      <w:pPr>
        <w:numPr>
          <w:ilvl w:val="1"/>
          <w:numId w:val="5"/>
        </w:numPr>
        <w:spacing w:after="5" w:line="249" w:lineRule="auto"/>
        <w:ind w:firstLine="698"/>
        <w:jc w:val="both"/>
      </w:pPr>
      <w:r>
        <w:rPr>
          <w:sz w:val="24"/>
        </w:rPr>
        <w:t xml:space="preserve">No âmbito organizacional, há confiança recíproca na diligente conduta de cada agente que compõe a cadeia de atividades, especialmente quando inexiste relação de subordinação, há qualificação técnica dos envolvidos e a atuação for pautada por norma legal. Em tal cenário, a ação ou omissão descuidada não é concretamente previsível, o que deve ser considerado para fins de responsabilização do agente público.  </w:t>
      </w:r>
    </w:p>
    <w:p w14:paraId="17C28AED" w14:textId="77777777" w:rsidR="001A479A" w:rsidRDefault="00000000">
      <w:pPr>
        <w:spacing w:after="0"/>
        <w:ind w:left="1416"/>
      </w:pPr>
      <w:r>
        <w:rPr>
          <w:sz w:val="24"/>
        </w:rPr>
        <w:t xml:space="preserve"> </w:t>
      </w:r>
    </w:p>
    <w:p w14:paraId="1D586F01" w14:textId="77777777" w:rsidR="001A479A" w:rsidRDefault="00000000">
      <w:pPr>
        <w:numPr>
          <w:ilvl w:val="1"/>
          <w:numId w:val="5"/>
        </w:numPr>
        <w:spacing w:after="5" w:line="249" w:lineRule="auto"/>
        <w:ind w:firstLine="698"/>
        <w:jc w:val="both"/>
      </w:pPr>
      <w:r>
        <w:rPr>
          <w:sz w:val="24"/>
        </w:rPr>
        <w:t xml:space="preserve">O ordenador de despesas responderá por falhas imputáveis ao executor do contrato somente em caso de dolo ou culpa grave (art. 28 da LINDB).  </w:t>
      </w:r>
    </w:p>
    <w:p w14:paraId="64A74916" w14:textId="77777777" w:rsidR="001A479A" w:rsidRDefault="00000000">
      <w:pPr>
        <w:spacing w:after="0"/>
        <w:ind w:left="1416"/>
      </w:pPr>
      <w:r>
        <w:rPr>
          <w:sz w:val="24"/>
        </w:rPr>
        <w:t xml:space="preserve"> </w:t>
      </w:r>
    </w:p>
    <w:p w14:paraId="00ABB507" w14:textId="77777777" w:rsidR="001A479A" w:rsidRDefault="00000000">
      <w:pPr>
        <w:numPr>
          <w:ilvl w:val="1"/>
          <w:numId w:val="5"/>
        </w:numPr>
        <w:spacing w:after="5" w:line="249" w:lineRule="auto"/>
        <w:ind w:firstLine="698"/>
        <w:jc w:val="both"/>
      </w:pPr>
      <w:r>
        <w:rPr>
          <w:sz w:val="24"/>
        </w:rPr>
        <w:t xml:space="preserve">Compete ao recorrente aventar razões recursais capazes de infirmar os fundamentados empregados na decisão recorrida, em observância ao princípio da dialeticidade.  </w:t>
      </w:r>
    </w:p>
    <w:p w14:paraId="564C6D76" w14:textId="77777777" w:rsidR="001A479A" w:rsidRDefault="00000000">
      <w:pPr>
        <w:spacing w:after="0"/>
        <w:ind w:left="1416"/>
      </w:pPr>
      <w:r>
        <w:rPr>
          <w:sz w:val="24"/>
        </w:rPr>
        <w:t xml:space="preserve"> </w:t>
      </w:r>
    </w:p>
    <w:p w14:paraId="4D10303E" w14:textId="77777777" w:rsidR="001A479A" w:rsidRDefault="00000000">
      <w:pPr>
        <w:numPr>
          <w:ilvl w:val="1"/>
          <w:numId w:val="5"/>
        </w:numPr>
        <w:spacing w:after="5" w:line="249" w:lineRule="auto"/>
        <w:ind w:firstLine="698"/>
        <w:jc w:val="both"/>
      </w:pPr>
      <w:r>
        <w:rPr>
          <w:sz w:val="24"/>
        </w:rPr>
        <w:t xml:space="preserve">Atestar a execução de serviços contratados, sem provas que confirmem tal informação, </w:t>
      </w:r>
    </w:p>
    <w:p w14:paraId="0117A0CE" w14:textId="77777777" w:rsidR="001A479A" w:rsidRDefault="00000000">
      <w:pPr>
        <w:spacing w:after="5" w:line="249" w:lineRule="auto"/>
        <w:ind w:left="693"/>
        <w:jc w:val="both"/>
      </w:pPr>
      <w:r>
        <w:rPr>
          <w:sz w:val="24"/>
        </w:rPr>
        <w:t xml:space="preserve">caracteriza erro grosseiro, por falha grave no dever de cuidado na gestão do erário. </w:t>
      </w:r>
    </w:p>
    <w:p w14:paraId="0280AFFE" w14:textId="77777777" w:rsidR="001A479A" w:rsidRDefault="00000000">
      <w:pPr>
        <w:spacing w:after="0"/>
        <w:ind w:left="1416"/>
      </w:pPr>
      <w:r>
        <w:rPr>
          <w:sz w:val="24"/>
        </w:rPr>
        <w:t xml:space="preserve"> </w:t>
      </w:r>
    </w:p>
    <w:p w14:paraId="1DEC5CBF" w14:textId="77777777" w:rsidR="001A479A" w:rsidRDefault="00000000">
      <w:pPr>
        <w:spacing w:after="5" w:line="250" w:lineRule="auto"/>
        <w:ind w:left="703" w:hanging="10"/>
        <w:jc w:val="both"/>
      </w:pPr>
      <w:r>
        <w:rPr>
          <w:b/>
          <w:sz w:val="24"/>
        </w:rPr>
        <w:t xml:space="preserve">Relator:                                                                 Sessão: </w:t>
      </w:r>
    </w:p>
    <w:p w14:paraId="0FAED694" w14:textId="77777777" w:rsidR="001A479A" w:rsidRDefault="00000000">
      <w:pPr>
        <w:spacing w:after="5" w:line="250" w:lineRule="auto"/>
        <w:ind w:left="703" w:hanging="10"/>
        <w:jc w:val="both"/>
      </w:pPr>
      <w:r>
        <w:rPr>
          <w:b/>
          <w:sz w:val="24"/>
        </w:rPr>
        <w:t xml:space="preserve">André Clemente Lara de Oliveira                    ORDINÁRIA nº 5439, de 17/09/2025. </w:t>
      </w:r>
    </w:p>
    <w:p w14:paraId="416AA606" w14:textId="77777777" w:rsidR="001A479A" w:rsidRDefault="00000000">
      <w:pPr>
        <w:spacing w:after="5" w:line="250" w:lineRule="auto"/>
        <w:ind w:left="703" w:hanging="10"/>
        <w:jc w:val="both"/>
      </w:pPr>
      <w:r>
        <w:rPr>
          <w:b/>
          <w:sz w:val="24"/>
        </w:rPr>
        <w:t xml:space="preserve">Decisão por maioria                                           </w:t>
      </w:r>
      <w:r>
        <w:rPr>
          <w:color w:val="0563C1"/>
          <w:sz w:val="24"/>
          <w:u w:val="single" w:color="0563C1"/>
        </w:rPr>
        <w:t>Proc. nº 34260/2016</w:t>
      </w:r>
      <w:r>
        <w:rPr>
          <w:color w:val="2A69C5"/>
          <w:sz w:val="24"/>
          <w:u w:val="single" w:color="0563C1"/>
        </w:rPr>
        <w:t xml:space="preserve"> - </w:t>
      </w:r>
      <w:r>
        <w:rPr>
          <w:color w:val="0563C1"/>
          <w:sz w:val="24"/>
          <w:u w:val="single" w:color="0563C1"/>
        </w:rPr>
        <w:t>Dec. nº 3646/2025</w:t>
      </w:r>
      <w:r>
        <w:rPr>
          <w:b/>
          <w:sz w:val="24"/>
        </w:rPr>
        <w:t xml:space="preserve"> </w:t>
      </w:r>
    </w:p>
    <w:p w14:paraId="3370037E" w14:textId="77777777" w:rsidR="001A479A" w:rsidRDefault="00000000">
      <w:pPr>
        <w:spacing w:after="0"/>
        <w:ind w:left="708"/>
      </w:pPr>
      <w:r>
        <w:rPr>
          <w:sz w:val="24"/>
        </w:rPr>
        <w:t xml:space="preserve"> </w:t>
      </w:r>
    </w:p>
    <w:p w14:paraId="6B42C9B2" w14:textId="77777777" w:rsidR="001A479A" w:rsidRDefault="00000000">
      <w:pPr>
        <w:spacing w:after="3" w:line="253" w:lineRule="auto"/>
        <w:ind w:left="703" w:right="6733" w:hanging="10"/>
      </w:pPr>
      <w:r>
        <w:rPr>
          <w:b/>
          <w:sz w:val="24"/>
        </w:rPr>
        <w:t xml:space="preserve">Legislação relacionada: </w:t>
      </w:r>
      <w:r>
        <w:rPr>
          <w:sz w:val="24"/>
        </w:rPr>
        <w:t xml:space="preserve"> </w:t>
      </w:r>
      <w:r>
        <w:rPr>
          <w:rFonts w:ascii="Segoe UI" w:eastAsia="Segoe UI" w:hAnsi="Segoe UI" w:cs="Segoe UI"/>
          <w:color w:val="0563C1"/>
          <w:sz w:val="24"/>
          <w:u w:val="single" w:color="0563C1"/>
        </w:rPr>
        <w:t>Lei Orgânica do TCDF, Art. 33.</w:t>
      </w:r>
      <w:r>
        <w:rPr>
          <w:sz w:val="24"/>
        </w:rPr>
        <w:t xml:space="preserve"> </w:t>
      </w:r>
    </w:p>
    <w:p w14:paraId="7C409218" w14:textId="77777777" w:rsidR="001A479A" w:rsidRDefault="00000000">
      <w:pPr>
        <w:spacing w:after="3" w:line="253" w:lineRule="auto"/>
        <w:ind w:left="703" w:hanging="10"/>
      </w:pPr>
      <w:r>
        <w:rPr>
          <w:rFonts w:ascii="Segoe UI" w:eastAsia="Segoe UI" w:hAnsi="Segoe UI" w:cs="Segoe UI"/>
          <w:color w:val="0563C1"/>
          <w:sz w:val="24"/>
          <w:u w:val="single" w:color="0563C1"/>
        </w:rPr>
        <w:t>Regimento Interno do TCDF, Art. 285.</w:t>
      </w:r>
      <w:r>
        <w:rPr>
          <w:rFonts w:ascii="Segoe UI" w:eastAsia="Segoe UI" w:hAnsi="Segoe UI" w:cs="Segoe UI"/>
          <w:sz w:val="24"/>
        </w:rPr>
        <w:t xml:space="preserve"> </w:t>
      </w:r>
      <w:r>
        <w:rPr>
          <w:sz w:val="24"/>
        </w:rPr>
        <w:t xml:space="preserve"> </w:t>
      </w:r>
    </w:p>
    <w:p w14:paraId="54319A3A" w14:textId="77777777" w:rsidR="001A479A" w:rsidRDefault="00000000">
      <w:pPr>
        <w:spacing w:after="3" w:line="253" w:lineRule="auto"/>
        <w:ind w:left="703" w:hanging="10"/>
      </w:pPr>
      <w:r>
        <w:rPr>
          <w:rFonts w:ascii="Segoe UI" w:eastAsia="Segoe UI" w:hAnsi="Segoe UI" w:cs="Segoe UI"/>
          <w:color w:val="0563C1"/>
          <w:sz w:val="24"/>
          <w:u w:val="single" w:color="0563C1"/>
        </w:rPr>
        <w:t>Decreto-lei nº 4.657/1942, Art. 28.</w:t>
      </w:r>
      <w:r>
        <w:rPr>
          <w:sz w:val="24"/>
        </w:rPr>
        <w:t xml:space="preserve"> </w:t>
      </w:r>
    </w:p>
    <w:p w14:paraId="0DF6987C" w14:textId="77777777" w:rsidR="001A479A" w:rsidRDefault="00000000">
      <w:pPr>
        <w:spacing w:after="3" w:line="253" w:lineRule="auto"/>
        <w:ind w:left="703" w:hanging="10"/>
      </w:pPr>
      <w:r>
        <w:rPr>
          <w:rFonts w:ascii="Segoe UI" w:eastAsia="Segoe UI" w:hAnsi="Segoe UI" w:cs="Segoe UI"/>
          <w:color w:val="0563C1"/>
          <w:sz w:val="24"/>
          <w:u w:val="single" w:color="0563C1"/>
        </w:rPr>
        <w:t>Decreto nº 9.830/2019, Art. 12,  § 1º.</w:t>
      </w:r>
      <w:r>
        <w:rPr>
          <w:rFonts w:ascii="Segoe UI" w:eastAsia="Segoe UI" w:hAnsi="Segoe UI" w:cs="Segoe UI"/>
          <w:sz w:val="24"/>
        </w:rPr>
        <w:t xml:space="preserve"> </w:t>
      </w:r>
    </w:p>
    <w:p w14:paraId="484498B9" w14:textId="77777777" w:rsidR="001A479A" w:rsidRDefault="00000000">
      <w:pPr>
        <w:spacing w:after="449"/>
        <w:ind w:left="699"/>
      </w:pPr>
      <w:r>
        <w:rPr>
          <w:rFonts w:ascii="Segoe UI" w:eastAsia="Segoe UI" w:hAnsi="Segoe UI" w:cs="Segoe UI"/>
          <w:sz w:val="24"/>
        </w:rPr>
        <w:t xml:space="preserve"> </w:t>
      </w:r>
    </w:p>
    <w:p w14:paraId="0AA3DC95" w14:textId="77777777" w:rsidR="001A479A" w:rsidRDefault="00000000">
      <w:pPr>
        <w:numPr>
          <w:ilvl w:val="0"/>
          <w:numId w:val="4"/>
        </w:numPr>
        <w:spacing w:after="5" w:line="250" w:lineRule="auto"/>
        <w:ind w:hanging="1205"/>
        <w:jc w:val="both"/>
      </w:pPr>
      <w:r>
        <w:rPr>
          <w:b/>
          <w:sz w:val="24"/>
        </w:rPr>
        <w:t xml:space="preserve">CONTAS. POLÍCIA MILITAR DO DISTRITO FEDERAL. PMDF. TOMADA DE CONTAS ESPECIAL. </w:t>
      </w:r>
    </w:p>
    <w:p w14:paraId="4B51FEC5" w14:textId="77777777" w:rsidR="001A479A" w:rsidRDefault="00000000">
      <w:pPr>
        <w:spacing w:after="5" w:line="250" w:lineRule="auto"/>
        <w:ind w:left="703" w:hanging="10"/>
        <w:jc w:val="both"/>
      </w:pPr>
      <w:r>
        <w:rPr>
          <w:b/>
          <w:sz w:val="24"/>
        </w:rPr>
        <w:t xml:space="preserve">RECEBIMENTO DE REMUNERAÇÃO DECORRENTE DE PROMOÇÃO INDEVIDA. AUSÊNCIA DE PREJUÍZO. ARQUIVAMENTO. </w:t>
      </w:r>
    </w:p>
    <w:p w14:paraId="23A79FB7" w14:textId="77777777" w:rsidR="001A479A" w:rsidRDefault="00000000">
      <w:pPr>
        <w:spacing w:after="0"/>
        <w:ind w:left="1416"/>
      </w:pPr>
      <w:r>
        <w:rPr>
          <w:sz w:val="24"/>
        </w:rPr>
        <w:t xml:space="preserve"> </w:t>
      </w:r>
    </w:p>
    <w:p w14:paraId="70A6E247" w14:textId="77777777" w:rsidR="001A479A" w:rsidRDefault="00000000">
      <w:pPr>
        <w:spacing w:after="5" w:line="249" w:lineRule="auto"/>
        <w:ind w:left="693" w:firstLine="698"/>
        <w:jc w:val="both"/>
      </w:pPr>
      <w:r>
        <w:rPr>
          <w:sz w:val="24"/>
        </w:rPr>
        <w:t xml:space="preserve">1) Nota técnica, ou documento congênere, elaborada em sede de instrução prévia de Tomada de Contas Especial e voltada à elucidação de ocorrências que envolvam suposto dano ao Erário configura ato inequívoco de apuração do fato por parte da Administração, ensejando a interrupção da prescrição, nos termos do art. 2º, inciso II, da Decisão Normativa nº 05/2021 - TCDF. </w:t>
      </w:r>
    </w:p>
    <w:p w14:paraId="4D43C3D7" w14:textId="77777777" w:rsidR="001A479A" w:rsidRDefault="00000000">
      <w:pPr>
        <w:spacing w:after="0"/>
        <w:ind w:left="1416"/>
      </w:pPr>
      <w:r>
        <w:rPr>
          <w:sz w:val="24"/>
        </w:rPr>
        <w:t xml:space="preserve"> </w:t>
      </w:r>
    </w:p>
    <w:p w14:paraId="3BBCE74C" w14:textId="77777777" w:rsidR="001A479A" w:rsidRDefault="00000000">
      <w:pPr>
        <w:spacing w:after="5" w:line="250" w:lineRule="auto"/>
        <w:ind w:left="703" w:hanging="10"/>
        <w:jc w:val="both"/>
      </w:pPr>
      <w:r>
        <w:rPr>
          <w:b/>
          <w:sz w:val="24"/>
        </w:rPr>
        <w:lastRenderedPageBreak/>
        <w:t xml:space="preserve">Relator:                                                                 Sessão: </w:t>
      </w:r>
    </w:p>
    <w:p w14:paraId="5902206E" w14:textId="77777777" w:rsidR="001A479A" w:rsidRDefault="00000000">
      <w:pPr>
        <w:spacing w:after="5" w:line="250" w:lineRule="auto"/>
        <w:ind w:left="703" w:hanging="10"/>
        <w:jc w:val="both"/>
      </w:pPr>
      <w:r>
        <w:rPr>
          <w:b/>
          <w:sz w:val="24"/>
        </w:rPr>
        <w:t xml:space="preserve">Vinícius Cardoso De Pinho Fragoso                ORDINÁRIA nº 5442, de 08/10/2025. </w:t>
      </w:r>
    </w:p>
    <w:p w14:paraId="41A3034A" w14:textId="77777777" w:rsidR="001A479A" w:rsidRDefault="00000000">
      <w:pPr>
        <w:spacing w:after="5" w:line="250" w:lineRule="auto"/>
        <w:ind w:left="703" w:hanging="10"/>
        <w:jc w:val="both"/>
      </w:pPr>
      <w:r>
        <w:rPr>
          <w:b/>
          <w:sz w:val="24"/>
        </w:rPr>
        <w:t xml:space="preserve">Decisão por unanimidade                                 </w:t>
      </w:r>
      <w:r>
        <w:rPr>
          <w:color w:val="0563C1"/>
          <w:sz w:val="24"/>
          <w:u w:val="single" w:color="0563C1"/>
        </w:rPr>
        <w:t>Proc. nº 641/2025</w:t>
      </w:r>
      <w:r>
        <w:rPr>
          <w:color w:val="2A69C5"/>
          <w:sz w:val="24"/>
          <w:u w:val="single" w:color="0563C1"/>
        </w:rPr>
        <w:t xml:space="preserve"> - </w:t>
      </w:r>
      <w:r>
        <w:rPr>
          <w:color w:val="0563C1"/>
          <w:sz w:val="24"/>
          <w:u w:val="single" w:color="0563C1"/>
        </w:rPr>
        <w:t>Dec. nº 3975/2025</w:t>
      </w:r>
      <w:r>
        <w:rPr>
          <w:b/>
          <w:sz w:val="24"/>
        </w:rPr>
        <w:t xml:space="preserve"> </w:t>
      </w:r>
    </w:p>
    <w:p w14:paraId="25C1F3DE" w14:textId="77777777" w:rsidR="001A479A" w:rsidRDefault="00000000">
      <w:pPr>
        <w:spacing w:after="0"/>
        <w:ind w:left="708"/>
      </w:pPr>
      <w:r>
        <w:rPr>
          <w:b/>
          <w:sz w:val="24"/>
        </w:rPr>
        <w:t xml:space="preserve"> </w:t>
      </w:r>
    </w:p>
    <w:p w14:paraId="1CB55827" w14:textId="77777777" w:rsidR="001A479A" w:rsidRDefault="00000000">
      <w:pPr>
        <w:spacing w:after="5" w:line="250" w:lineRule="auto"/>
        <w:ind w:left="703" w:hanging="10"/>
        <w:jc w:val="both"/>
      </w:pPr>
      <w:r>
        <w:rPr>
          <w:b/>
          <w:sz w:val="24"/>
        </w:rPr>
        <w:t xml:space="preserve">Decisões relacionadas: </w:t>
      </w:r>
      <w:r>
        <w:rPr>
          <w:sz w:val="24"/>
        </w:rPr>
        <w:t xml:space="preserve"> </w:t>
      </w:r>
    </w:p>
    <w:p w14:paraId="74039519" w14:textId="77777777" w:rsidR="001A479A" w:rsidRDefault="00000000">
      <w:pPr>
        <w:spacing w:after="3" w:line="253" w:lineRule="auto"/>
        <w:ind w:left="703" w:hanging="10"/>
      </w:pPr>
      <w:r>
        <w:rPr>
          <w:rFonts w:ascii="Segoe UI" w:eastAsia="Segoe UI" w:hAnsi="Segoe UI" w:cs="Segoe UI"/>
          <w:color w:val="0563C1"/>
          <w:sz w:val="24"/>
          <w:u w:val="single" w:color="0563C1"/>
        </w:rPr>
        <w:t>TCDF: Decisão nº 3778/2024</w:t>
      </w:r>
      <w:r>
        <w:rPr>
          <w:sz w:val="24"/>
        </w:rPr>
        <w:t xml:space="preserve"> </w:t>
      </w:r>
    </w:p>
    <w:p w14:paraId="487BE47B" w14:textId="77777777" w:rsidR="001A479A" w:rsidRDefault="00000000">
      <w:pPr>
        <w:spacing w:after="0"/>
        <w:ind w:left="708"/>
      </w:pPr>
      <w:r>
        <w:rPr>
          <w:rFonts w:ascii="Segoe UI" w:eastAsia="Segoe UI" w:hAnsi="Segoe UI" w:cs="Segoe UI"/>
          <w:sz w:val="24"/>
        </w:rPr>
        <w:t xml:space="preserve"> </w:t>
      </w:r>
    </w:p>
    <w:p w14:paraId="53F91B06" w14:textId="77777777" w:rsidR="001A479A" w:rsidRDefault="00000000">
      <w:pPr>
        <w:spacing w:after="5" w:line="250" w:lineRule="auto"/>
        <w:ind w:left="703" w:hanging="10"/>
        <w:jc w:val="both"/>
      </w:pPr>
      <w:r>
        <w:rPr>
          <w:b/>
          <w:sz w:val="24"/>
        </w:rPr>
        <w:t>Precedentes externos:</w:t>
      </w:r>
      <w:r>
        <w:rPr>
          <w:sz w:val="24"/>
        </w:rPr>
        <w:t xml:space="preserve"> </w:t>
      </w:r>
    </w:p>
    <w:p w14:paraId="168E94F1" w14:textId="77777777" w:rsidR="001A479A" w:rsidRDefault="00000000">
      <w:pPr>
        <w:spacing w:after="3" w:line="253" w:lineRule="auto"/>
        <w:ind w:left="703" w:hanging="10"/>
      </w:pPr>
      <w:r>
        <w:rPr>
          <w:rFonts w:ascii="Segoe UI" w:eastAsia="Segoe UI" w:hAnsi="Segoe UI" w:cs="Segoe UI"/>
          <w:color w:val="0563C1"/>
          <w:sz w:val="24"/>
          <w:u w:val="single" w:color="0563C1"/>
        </w:rPr>
        <w:t>STJ: REsp 575.551/SP - Primeira Turma</w:t>
      </w:r>
      <w:r>
        <w:rPr>
          <w:rFonts w:ascii="Segoe UI" w:eastAsia="Segoe UI" w:hAnsi="Segoe UI" w:cs="Segoe UI"/>
          <w:sz w:val="24"/>
        </w:rPr>
        <w:t xml:space="preserve"> </w:t>
      </w:r>
    </w:p>
    <w:p w14:paraId="76F49A45" w14:textId="77777777" w:rsidR="001A479A" w:rsidRDefault="00000000">
      <w:pPr>
        <w:spacing w:after="0"/>
        <w:ind w:left="708"/>
      </w:pPr>
      <w:r>
        <w:rPr>
          <w:rFonts w:ascii="Segoe UI" w:eastAsia="Segoe UI" w:hAnsi="Segoe UI" w:cs="Segoe UI"/>
          <w:sz w:val="24"/>
        </w:rPr>
        <w:t xml:space="preserve"> </w:t>
      </w:r>
    </w:p>
    <w:p w14:paraId="20CF362A" w14:textId="77777777" w:rsidR="001A479A" w:rsidRDefault="00000000">
      <w:pPr>
        <w:spacing w:after="5" w:line="250" w:lineRule="auto"/>
        <w:ind w:left="703" w:hanging="10"/>
        <w:jc w:val="both"/>
      </w:pPr>
      <w:r>
        <w:rPr>
          <w:b/>
          <w:sz w:val="24"/>
        </w:rPr>
        <w:t xml:space="preserve">Legislação relacionada: </w:t>
      </w:r>
      <w:r>
        <w:rPr>
          <w:sz w:val="24"/>
        </w:rPr>
        <w:t xml:space="preserve"> </w:t>
      </w:r>
    </w:p>
    <w:p w14:paraId="485DAEB7" w14:textId="77777777" w:rsidR="001A479A" w:rsidRDefault="00000000">
      <w:pPr>
        <w:spacing w:after="3" w:line="253" w:lineRule="auto"/>
        <w:ind w:left="703" w:hanging="10"/>
      </w:pPr>
      <w:r>
        <w:rPr>
          <w:rFonts w:ascii="Segoe UI" w:eastAsia="Segoe UI" w:hAnsi="Segoe UI" w:cs="Segoe UI"/>
          <w:color w:val="0563C1"/>
          <w:sz w:val="24"/>
          <w:u w:val="single" w:color="0563C1"/>
        </w:rPr>
        <w:t>Decisão normativa nº 5/2021, Art. 1º, III.</w:t>
      </w:r>
      <w:r>
        <w:rPr>
          <w:sz w:val="24"/>
        </w:rPr>
        <w:t xml:space="preserve"> </w:t>
      </w:r>
    </w:p>
    <w:p w14:paraId="4D048AEE" w14:textId="77777777" w:rsidR="001A479A" w:rsidRDefault="00000000">
      <w:pPr>
        <w:spacing w:after="0"/>
        <w:ind w:left="708"/>
      </w:pPr>
      <w:r>
        <w:rPr>
          <w:rFonts w:ascii="Segoe UI" w:eastAsia="Segoe UI" w:hAnsi="Segoe UI" w:cs="Segoe UI"/>
          <w:sz w:val="24"/>
        </w:rPr>
        <w:t xml:space="preserve"> </w:t>
      </w:r>
    </w:p>
    <w:p w14:paraId="4252AE3E" w14:textId="77777777" w:rsidR="001A479A" w:rsidRDefault="00000000">
      <w:pPr>
        <w:spacing w:after="0"/>
        <w:ind w:left="708"/>
      </w:pPr>
      <w:r>
        <w:rPr>
          <w:rFonts w:ascii="Segoe UI" w:eastAsia="Segoe UI" w:hAnsi="Segoe UI" w:cs="Segoe UI"/>
          <w:sz w:val="24"/>
        </w:rPr>
        <w:t xml:space="preserve"> </w:t>
      </w:r>
    </w:p>
    <w:p w14:paraId="78F35BEF" w14:textId="77777777" w:rsidR="001A479A" w:rsidRDefault="00000000">
      <w:pPr>
        <w:spacing w:after="0"/>
        <w:ind w:left="708"/>
      </w:pPr>
      <w:r>
        <w:rPr>
          <w:color w:val="2A69C5"/>
          <w:sz w:val="24"/>
        </w:rPr>
        <w:t xml:space="preserve"> </w:t>
      </w:r>
    </w:p>
    <w:p w14:paraId="2B1AD0BE" w14:textId="77777777" w:rsidR="001A479A" w:rsidRDefault="00000000">
      <w:pPr>
        <w:spacing w:after="0"/>
        <w:ind w:left="708"/>
      </w:pPr>
      <w:r>
        <w:rPr>
          <w:color w:val="2A69C5"/>
          <w:sz w:val="24"/>
        </w:rPr>
        <w:t xml:space="preserve"> </w:t>
      </w:r>
    </w:p>
    <w:p w14:paraId="3EC6D8AC" w14:textId="77777777" w:rsidR="001A479A" w:rsidRDefault="00000000">
      <w:pPr>
        <w:spacing w:after="622"/>
      </w:pPr>
      <w:r>
        <w:rPr>
          <w:b/>
          <w:color w:val="004582"/>
          <w:sz w:val="32"/>
        </w:rPr>
        <w:t xml:space="preserve">Finanças Públicas (setembro a outubro/2025) </w:t>
      </w:r>
    </w:p>
    <w:p w14:paraId="6D731B8B" w14:textId="77777777" w:rsidR="001A479A" w:rsidRDefault="00000000">
      <w:pPr>
        <w:tabs>
          <w:tab w:val="center" w:pos="287"/>
          <w:tab w:val="right" w:pos="10588"/>
        </w:tabs>
        <w:spacing w:after="5" w:line="250" w:lineRule="auto"/>
      </w:pPr>
      <w:r>
        <w:tab/>
      </w:r>
      <w:r>
        <w:rPr>
          <w:b/>
          <w:color w:val="004582"/>
          <w:sz w:val="40"/>
        </w:rPr>
        <w:t>1</w:t>
      </w:r>
      <w:r>
        <w:rPr>
          <w:color w:val="004364"/>
          <w:sz w:val="40"/>
        </w:rPr>
        <w:t xml:space="preserve">   </w:t>
      </w:r>
      <w:r>
        <w:rPr>
          <w:sz w:val="24"/>
        </w:rPr>
        <w:t xml:space="preserve">  </w:t>
      </w:r>
      <w:r>
        <w:rPr>
          <w:sz w:val="24"/>
        </w:rPr>
        <w:tab/>
      </w:r>
      <w:r>
        <w:rPr>
          <w:b/>
          <w:sz w:val="24"/>
        </w:rPr>
        <w:t xml:space="preserve">ESTUDOS ESPECIAIS. DESVINCULAÇÃO DE RECEITAS - DREM (ART. 76-A DO ADCT, EC </w:t>
      </w:r>
    </w:p>
    <w:p w14:paraId="73F49443" w14:textId="77777777" w:rsidR="001A479A" w:rsidRDefault="00000000">
      <w:pPr>
        <w:spacing w:after="5" w:line="250" w:lineRule="auto"/>
        <w:ind w:left="703" w:hanging="10"/>
        <w:jc w:val="both"/>
      </w:pPr>
      <w:r>
        <w:rPr>
          <w:b/>
          <w:sz w:val="24"/>
        </w:rPr>
        <w:t xml:space="preserve">132/2023). APLICABILIDADE A FUNDOS, DESPESAS MÍNIMAS OBRIGATÓRIAS E FONTES DE RECURSOS, EXCETUADAS SAÚDE E EDUCAÇÃO. INTERPRETAÇÃO AMPLA DE OUTRAS RECEITAS CORRENTES. ALCANCE A AUTARQUIAS E FUNDAÇÕES, DESDE QUE ASSEGURADOS OS RECURSOS NECESSÁRIOS À REALIZAÇÃO DAS FINALIDADES PARA AS QUAIS FORAM CRIADAS. NECESSIDADE DE </w:t>
      </w:r>
    </w:p>
    <w:p w14:paraId="08E8B66B" w14:textId="77777777" w:rsidR="001A479A" w:rsidRDefault="00000000">
      <w:pPr>
        <w:spacing w:after="5" w:line="250" w:lineRule="auto"/>
        <w:ind w:left="703" w:hanging="10"/>
        <w:jc w:val="both"/>
      </w:pPr>
      <w:r>
        <w:rPr>
          <w:b/>
          <w:sz w:val="24"/>
        </w:rPr>
        <w:t xml:space="preserve">PREVISÃO LEGAL, PREFERENCIALMENTE NA LOA, SENDO INVIÁVEL ATO EXCLUSIVO DO EXECUTIVO. </w:t>
      </w:r>
    </w:p>
    <w:p w14:paraId="62AAE5E2" w14:textId="77777777" w:rsidR="001A479A" w:rsidRDefault="00000000">
      <w:pPr>
        <w:spacing w:after="0"/>
        <w:ind w:left="1416"/>
      </w:pPr>
      <w:r>
        <w:rPr>
          <w:sz w:val="24"/>
        </w:rPr>
        <w:t xml:space="preserve"> </w:t>
      </w:r>
    </w:p>
    <w:p w14:paraId="51420616" w14:textId="77777777" w:rsidR="001A479A" w:rsidRDefault="00000000">
      <w:pPr>
        <w:spacing w:after="5" w:line="249" w:lineRule="auto"/>
        <w:ind w:left="693" w:firstLine="698"/>
        <w:jc w:val="both"/>
      </w:pPr>
      <w:r>
        <w:rPr>
          <w:sz w:val="24"/>
        </w:rPr>
        <w:t xml:space="preserve">Estudos especiais instaurados em atendimento ao item VI.b da Decisão nº 1465/2024, para análise dos procedimentos a serem adotados no âmbito da Administração do Distrito Federal sobre a desvinculação das receitas de que trata o art. 76-A do Ato das Disposições Constitucionais Transitórias - ADCT, com a atual redação dada pela Emenda Constitucional nº 132, de 2023, de forma a garantir segurança jurídica na gestão dos respectivos recursos pelos diversos órgãos e entidades distritais. O Tribunal, por unanimidade, decidiu que a aplicação da Desvinculação de Receitas de Estados, Distrito Federal e Municípios - DREM, prevista nos arts. 76-A e 76-B do ADCT, deve observar: a) o limite de 30% (trinta por cento) das receitas passíveis de desafetação; b) a necessidade de previsão em lei orçamentária ou norma equivalente, não sendo possível a desvinculação por ato exclusivo do Poder Executivo; c) que, embora dotadas de personalidade jurídica e receitas próprias, as autarquias integram o orçamento fiscal e devem participar do esforço fiscal do ente, inclusive por meio da DREM, desde que assegurados os recursos necessários à realização das finalidades para as quais foram criadas. </w:t>
      </w:r>
    </w:p>
    <w:p w14:paraId="6CF064EA" w14:textId="77777777" w:rsidR="001A479A" w:rsidRDefault="00000000">
      <w:pPr>
        <w:spacing w:after="0"/>
        <w:ind w:left="1416"/>
      </w:pPr>
      <w:r>
        <w:rPr>
          <w:sz w:val="24"/>
        </w:rPr>
        <w:t xml:space="preserve"> </w:t>
      </w:r>
    </w:p>
    <w:p w14:paraId="5D5C4690" w14:textId="77777777" w:rsidR="001A479A" w:rsidRDefault="00000000">
      <w:pPr>
        <w:spacing w:after="5" w:line="250" w:lineRule="auto"/>
        <w:ind w:left="703" w:hanging="10"/>
        <w:jc w:val="both"/>
      </w:pPr>
      <w:r>
        <w:rPr>
          <w:b/>
          <w:sz w:val="24"/>
        </w:rPr>
        <w:lastRenderedPageBreak/>
        <w:t xml:space="preserve">Relator:                                                                 Sessão: </w:t>
      </w:r>
    </w:p>
    <w:p w14:paraId="380BEF55" w14:textId="77777777" w:rsidR="001A479A" w:rsidRDefault="00000000">
      <w:pPr>
        <w:spacing w:after="5" w:line="250" w:lineRule="auto"/>
        <w:ind w:left="703" w:hanging="10"/>
        <w:jc w:val="both"/>
      </w:pPr>
      <w:r>
        <w:rPr>
          <w:b/>
          <w:sz w:val="24"/>
        </w:rPr>
        <w:t xml:space="preserve">Paulo Tadeu Vale Da Silva                                ORDINÁRIA nº 5438, de 10/09/2025. </w:t>
      </w:r>
    </w:p>
    <w:p w14:paraId="3CE974BC" w14:textId="77777777" w:rsidR="001A479A" w:rsidRDefault="00000000">
      <w:pPr>
        <w:spacing w:after="5" w:line="250" w:lineRule="auto"/>
        <w:ind w:left="703" w:hanging="10"/>
        <w:jc w:val="both"/>
      </w:pPr>
      <w:r>
        <w:rPr>
          <w:b/>
          <w:sz w:val="24"/>
        </w:rPr>
        <w:t xml:space="preserve">Decisão por unanimidade                                 </w:t>
      </w:r>
      <w:r>
        <w:rPr>
          <w:color w:val="0563C1"/>
          <w:sz w:val="24"/>
          <w:u w:val="single" w:color="0563C1"/>
        </w:rPr>
        <w:t>Proc. nº 14620/2024</w:t>
      </w:r>
      <w:r>
        <w:rPr>
          <w:color w:val="2A69C5"/>
          <w:sz w:val="24"/>
          <w:u w:val="single" w:color="0563C1"/>
        </w:rPr>
        <w:t xml:space="preserve"> - </w:t>
      </w:r>
      <w:r>
        <w:rPr>
          <w:color w:val="0563C1"/>
          <w:sz w:val="24"/>
          <w:u w:val="single" w:color="0563C1"/>
        </w:rPr>
        <w:t>Dec. nº 3561/2025</w:t>
      </w:r>
      <w:r>
        <w:rPr>
          <w:b/>
          <w:sz w:val="24"/>
        </w:rPr>
        <w:t xml:space="preserve"> </w:t>
      </w:r>
    </w:p>
    <w:p w14:paraId="63301681" w14:textId="77777777" w:rsidR="001A479A" w:rsidRDefault="00000000">
      <w:pPr>
        <w:spacing w:after="0"/>
        <w:ind w:left="708"/>
      </w:pPr>
      <w:r>
        <w:rPr>
          <w:color w:val="2A69C5"/>
          <w:sz w:val="24"/>
        </w:rPr>
        <w:t xml:space="preserve"> </w:t>
      </w:r>
    </w:p>
    <w:p w14:paraId="46DC3445" w14:textId="77777777" w:rsidR="001A479A" w:rsidRDefault="00000000">
      <w:pPr>
        <w:spacing w:after="5" w:line="250" w:lineRule="auto"/>
        <w:ind w:left="703" w:hanging="10"/>
        <w:jc w:val="both"/>
      </w:pPr>
      <w:r>
        <w:rPr>
          <w:b/>
          <w:sz w:val="24"/>
        </w:rPr>
        <w:t xml:space="preserve">Legislação relacionada: </w:t>
      </w:r>
      <w:r>
        <w:rPr>
          <w:sz w:val="24"/>
        </w:rPr>
        <w:t xml:space="preserve"> </w:t>
      </w:r>
    </w:p>
    <w:p w14:paraId="08CE1A01" w14:textId="77777777" w:rsidR="001A479A" w:rsidRDefault="00000000">
      <w:pPr>
        <w:spacing w:after="3" w:line="253" w:lineRule="auto"/>
        <w:ind w:left="703" w:hanging="10"/>
      </w:pPr>
      <w:r>
        <w:rPr>
          <w:rFonts w:ascii="Segoe UI" w:eastAsia="Segoe UI" w:hAnsi="Segoe UI" w:cs="Segoe UI"/>
          <w:color w:val="0563C1"/>
          <w:sz w:val="24"/>
          <w:u w:val="single" w:color="0563C1"/>
        </w:rPr>
        <w:t>ADCT nº 0/1988, Art. 76.</w:t>
      </w:r>
      <w:r>
        <w:rPr>
          <w:sz w:val="24"/>
        </w:rPr>
        <w:t xml:space="preserve"> </w:t>
      </w:r>
    </w:p>
    <w:p w14:paraId="65C85128" w14:textId="77777777" w:rsidR="001A479A" w:rsidRDefault="00000000">
      <w:pPr>
        <w:spacing w:after="116"/>
        <w:ind w:left="708"/>
      </w:pPr>
      <w:r>
        <w:rPr>
          <w:color w:val="2A69C5"/>
          <w:sz w:val="24"/>
        </w:rPr>
        <w:t xml:space="preserve"> </w:t>
      </w:r>
    </w:p>
    <w:p w14:paraId="50DE5F98" w14:textId="77777777" w:rsidR="001A479A" w:rsidRDefault="00000000">
      <w:pPr>
        <w:spacing w:after="60"/>
      </w:pPr>
      <w:r>
        <w:rPr>
          <w:b/>
          <w:color w:val="004582"/>
          <w:sz w:val="32"/>
        </w:rPr>
        <w:t xml:space="preserve"> </w:t>
      </w:r>
    </w:p>
    <w:p w14:paraId="7E0631EB" w14:textId="77777777" w:rsidR="001A479A" w:rsidRDefault="00000000">
      <w:pPr>
        <w:spacing w:after="622"/>
      </w:pPr>
      <w:r>
        <w:rPr>
          <w:b/>
          <w:color w:val="1D9955"/>
          <w:sz w:val="32"/>
        </w:rPr>
        <w:t xml:space="preserve">Pessoal (setembro a outubro/2025) </w:t>
      </w:r>
    </w:p>
    <w:p w14:paraId="4EB5ED32" w14:textId="77777777" w:rsidR="001A479A" w:rsidRDefault="00000000">
      <w:pPr>
        <w:numPr>
          <w:ilvl w:val="0"/>
          <w:numId w:val="6"/>
        </w:numPr>
        <w:spacing w:after="5" w:line="250" w:lineRule="auto"/>
        <w:ind w:hanging="1205"/>
        <w:jc w:val="both"/>
      </w:pPr>
      <w:r>
        <w:rPr>
          <w:b/>
          <w:sz w:val="24"/>
        </w:rPr>
        <w:t xml:space="preserve">REPRESENTAÇÃO. SECRETARIA DE ESTADO DE EDUCAÇÃO DO DISTRITO FEDERAL. </w:t>
      </w:r>
    </w:p>
    <w:p w14:paraId="34597580" w14:textId="77777777" w:rsidR="001A479A" w:rsidRDefault="00000000">
      <w:pPr>
        <w:spacing w:after="5" w:line="250" w:lineRule="auto"/>
        <w:ind w:left="703" w:hanging="10"/>
        <w:jc w:val="both"/>
      </w:pPr>
      <w:r>
        <w:rPr>
          <w:b/>
          <w:sz w:val="24"/>
        </w:rPr>
        <w:t xml:space="preserve">SECRETARIA DE ECONOMIA DO DISTRITO FEDERAL. CONCURSO PÚBLICO. MAGISTÉRIO PÚBLICO. ASSISTÊNCIA À EDUCAÇÃO. PESSOA COM DEFICIÊNCIA. TRANSTORNO DO ESPECTRO AUTISTA. AVALIAÇÃO BIOPSICOSSOCIAL. INAPTIDÃO PARA O EXERCÍCIO DO CARGO. AUSÊNCIA DE MOTIVAÇÃO TÉCNICA. EXAME DE MÉRITO. PROCEDÊNCIA. CONFIMAÇÃO DE CAUTELAR. DETERMINAÇÕES. </w:t>
      </w:r>
    </w:p>
    <w:p w14:paraId="66FD7D46" w14:textId="77777777" w:rsidR="001A479A" w:rsidRDefault="00000000">
      <w:pPr>
        <w:spacing w:after="0"/>
        <w:ind w:left="1416"/>
      </w:pPr>
      <w:r>
        <w:rPr>
          <w:sz w:val="24"/>
        </w:rPr>
        <w:t xml:space="preserve"> </w:t>
      </w:r>
    </w:p>
    <w:p w14:paraId="25BBD51A" w14:textId="77777777" w:rsidR="001A479A" w:rsidRDefault="00000000">
      <w:pPr>
        <w:numPr>
          <w:ilvl w:val="1"/>
          <w:numId w:val="6"/>
        </w:numPr>
        <w:spacing w:after="5" w:line="249" w:lineRule="auto"/>
        <w:ind w:firstLine="698"/>
        <w:jc w:val="both"/>
      </w:pPr>
      <w:r>
        <w:rPr>
          <w:sz w:val="24"/>
        </w:rPr>
        <w:t xml:space="preserve">O exame admissional verifica a aptidão física e mental do candidato para o exercício de cargo público, não se prestando á reavaliação da qualidade de pessoa com deficiência devidamente reconhecida em fase anterior do certame.  </w:t>
      </w:r>
    </w:p>
    <w:p w14:paraId="31EB04C9" w14:textId="77777777" w:rsidR="001A479A" w:rsidRDefault="00000000">
      <w:pPr>
        <w:spacing w:after="0"/>
        <w:ind w:left="1416"/>
      </w:pPr>
      <w:r>
        <w:rPr>
          <w:sz w:val="24"/>
        </w:rPr>
        <w:t xml:space="preserve"> </w:t>
      </w:r>
    </w:p>
    <w:p w14:paraId="202371A8" w14:textId="77777777" w:rsidR="001A479A" w:rsidRDefault="00000000">
      <w:pPr>
        <w:numPr>
          <w:ilvl w:val="1"/>
          <w:numId w:val="6"/>
        </w:numPr>
        <w:spacing w:after="5" w:line="249" w:lineRule="auto"/>
        <w:ind w:firstLine="698"/>
        <w:jc w:val="both"/>
      </w:pPr>
      <w:r>
        <w:rPr>
          <w:sz w:val="24"/>
        </w:rPr>
        <w:t xml:space="preserve">A aferição da condição da pessoa com deficiência será feita por avaliação biopsicossocial, realizada por equipe multiprofissional e interdisciplinar, sendo incabível o uso de outros métodos de exame que reduzam os escopos biológico, psicológico e social previstos em lei. </w:t>
      </w:r>
    </w:p>
    <w:p w14:paraId="0ACBFD52" w14:textId="77777777" w:rsidR="001A479A" w:rsidRDefault="00000000">
      <w:pPr>
        <w:spacing w:after="0"/>
        <w:ind w:left="1416"/>
      </w:pPr>
      <w:r>
        <w:rPr>
          <w:sz w:val="24"/>
        </w:rPr>
        <w:t xml:space="preserve"> </w:t>
      </w:r>
    </w:p>
    <w:p w14:paraId="4EC1EA9C" w14:textId="77777777" w:rsidR="001A479A" w:rsidRDefault="00000000">
      <w:pPr>
        <w:spacing w:after="5" w:line="250" w:lineRule="auto"/>
        <w:ind w:left="703" w:hanging="10"/>
        <w:jc w:val="both"/>
      </w:pPr>
      <w:r>
        <w:rPr>
          <w:b/>
          <w:sz w:val="24"/>
        </w:rPr>
        <w:t xml:space="preserve">Relator:                                                                 Sessão: </w:t>
      </w:r>
    </w:p>
    <w:p w14:paraId="005248E1" w14:textId="77777777" w:rsidR="001A479A" w:rsidRDefault="00000000">
      <w:pPr>
        <w:spacing w:after="5" w:line="250" w:lineRule="auto"/>
        <w:ind w:left="703" w:hanging="10"/>
        <w:jc w:val="both"/>
      </w:pPr>
      <w:r>
        <w:rPr>
          <w:b/>
          <w:sz w:val="24"/>
        </w:rPr>
        <w:t xml:space="preserve">André Clemente Lara de Oliveira                    ORDINÁRIA nº 5439, de 17/09/2025. </w:t>
      </w:r>
    </w:p>
    <w:p w14:paraId="6FC289EC" w14:textId="77777777" w:rsidR="001A479A" w:rsidRDefault="00000000">
      <w:pPr>
        <w:spacing w:after="5" w:line="250" w:lineRule="auto"/>
        <w:ind w:left="703" w:hanging="10"/>
        <w:jc w:val="both"/>
      </w:pPr>
      <w:r>
        <w:rPr>
          <w:b/>
          <w:sz w:val="24"/>
        </w:rPr>
        <w:t xml:space="preserve">Decisão por unanimidade                                 </w:t>
      </w:r>
      <w:r>
        <w:rPr>
          <w:color w:val="0563C1"/>
          <w:sz w:val="24"/>
          <w:u w:val="single" w:color="0563C1"/>
        </w:rPr>
        <w:t>Proc. nº 1216/2024</w:t>
      </w:r>
      <w:r>
        <w:rPr>
          <w:color w:val="2A69C5"/>
          <w:sz w:val="24"/>
          <w:u w:val="single" w:color="0563C1"/>
        </w:rPr>
        <w:t xml:space="preserve"> - </w:t>
      </w:r>
      <w:r>
        <w:rPr>
          <w:color w:val="0563C1"/>
          <w:sz w:val="24"/>
          <w:u w:val="single" w:color="0563C1"/>
        </w:rPr>
        <w:t>Dec. nº 3680/2025</w:t>
      </w:r>
      <w:r>
        <w:rPr>
          <w:b/>
          <w:sz w:val="24"/>
        </w:rPr>
        <w:t xml:space="preserve"> </w:t>
      </w:r>
    </w:p>
    <w:p w14:paraId="153206B1" w14:textId="77777777" w:rsidR="001A479A" w:rsidRDefault="00000000">
      <w:pPr>
        <w:spacing w:after="0"/>
        <w:ind w:left="708"/>
      </w:pPr>
      <w:r>
        <w:rPr>
          <w:b/>
          <w:sz w:val="24"/>
        </w:rPr>
        <w:t xml:space="preserve"> </w:t>
      </w:r>
    </w:p>
    <w:p w14:paraId="3B378201" w14:textId="77777777" w:rsidR="001A479A" w:rsidRDefault="00000000">
      <w:pPr>
        <w:spacing w:after="5" w:line="250" w:lineRule="auto"/>
        <w:ind w:left="703" w:hanging="10"/>
        <w:jc w:val="both"/>
      </w:pPr>
      <w:r>
        <w:rPr>
          <w:b/>
          <w:sz w:val="24"/>
        </w:rPr>
        <w:t xml:space="preserve">Legislação relacionada: </w:t>
      </w:r>
      <w:r>
        <w:rPr>
          <w:sz w:val="24"/>
        </w:rPr>
        <w:t xml:space="preserve"> </w:t>
      </w:r>
    </w:p>
    <w:p w14:paraId="5B8321B3" w14:textId="77777777" w:rsidR="001A479A" w:rsidRDefault="00000000">
      <w:pPr>
        <w:spacing w:after="3" w:line="253" w:lineRule="auto"/>
        <w:ind w:left="703" w:hanging="10"/>
      </w:pPr>
      <w:r>
        <w:rPr>
          <w:rFonts w:ascii="Segoe UI" w:eastAsia="Segoe UI" w:hAnsi="Segoe UI" w:cs="Segoe UI"/>
          <w:color w:val="0563C1"/>
          <w:sz w:val="24"/>
          <w:u w:val="single" w:color="0563C1"/>
        </w:rPr>
        <w:t>Decreto nº 34.023/2012, Art. 3º.</w:t>
      </w:r>
      <w:r>
        <w:rPr>
          <w:sz w:val="24"/>
        </w:rPr>
        <w:t xml:space="preserve"> </w:t>
      </w:r>
    </w:p>
    <w:p w14:paraId="50B0B8DA" w14:textId="77777777" w:rsidR="001A479A" w:rsidRDefault="00000000">
      <w:pPr>
        <w:spacing w:after="3" w:line="253" w:lineRule="auto"/>
        <w:ind w:left="703" w:hanging="10"/>
      </w:pPr>
      <w:r>
        <w:rPr>
          <w:rFonts w:ascii="Segoe UI" w:eastAsia="Segoe UI" w:hAnsi="Segoe UI" w:cs="Segoe UI"/>
          <w:color w:val="0563C1"/>
          <w:sz w:val="24"/>
          <w:u w:val="single" w:color="0563C1"/>
        </w:rPr>
        <w:t>Lei Complementar nº 840/2011, Art. 7º, VI.</w:t>
      </w:r>
      <w:r>
        <w:rPr>
          <w:sz w:val="24"/>
        </w:rPr>
        <w:t xml:space="preserve"> </w:t>
      </w:r>
    </w:p>
    <w:p w14:paraId="26B06175" w14:textId="77777777" w:rsidR="001A479A" w:rsidRDefault="00000000">
      <w:pPr>
        <w:spacing w:after="3" w:line="253" w:lineRule="auto"/>
        <w:ind w:left="703" w:hanging="10"/>
      </w:pPr>
      <w:r>
        <w:rPr>
          <w:rFonts w:ascii="Segoe UI" w:eastAsia="Segoe UI" w:hAnsi="Segoe UI" w:cs="Segoe UI"/>
          <w:color w:val="0563C1"/>
          <w:sz w:val="24"/>
          <w:u w:val="single" w:color="0563C1"/>
        </w:rPr>
        <w:t>Lei Complementar nº 840/2011, Art. 18, § 2º, I.</w:t>
      </w:r>
      <w:r>
        <w:rPr>
          <w:sz w:val="24"/>
        </w:rPr>
        <w:t xml:space="preserve"> </w:t>
      </w:r>
    </w:p>
    <w:p w14:paraId="57978C4F" w14:textId="77777777" w:rsidR="001A479A" w:rsidRDefault="00000000">
      <w:pPr>
        <w:spacing w:after="0"/>
        <w:ind w:left="699"/>
      </w:pPr>
      <w:r>
        <w:rPr>
          <w:rFonts w:ascii="Segoe UI" w:eastAsia="Segoe UI" w:hAnsi="Segoe UI" w:cs="Segoe UI"/>
          <w:sz w:val="24"/>
        </w:rPr>
        <w:t xml:space="preserve"> </w:t>
      </w:r>
    </w:p>
    <w:p w14:paraId="6BEEA57D" w14:textId="77777777" w:rsidR="001A479A" w:rsidRDefault="00000000">
      <w:pPr>
        <w:spacing w:after="601"/>
        <w:ind w:left="708"/>
      </w:pPr>
      <w:r>
        <w:rPr>
          <w:color w:val="2A69C5"/>
          <w:sz w:val="24"/>
        </w:rPr>
        <w:t xml:space="preserve"> </w:t>
      </w:r>
    </w:p>
    <w:p w14:paraId="3D4F90BD" w14:textId="77777777" w:rsidR="001A479A" w:rsidRDefault="00000000">
      <w:pPr>
        <w:numPr>
          <w:ilvl w:val="0"/>
          <w:numId w:val="6"/>
        </w:numPr>
        <w:spacing w:after="5" w:line="250" w:lineRule="auto"/>
        <w:ind w:hanging="1205"/>
        <w:jc w:val="both"/>
      </w:pPr>
      <w:r>
        <w:rPr>
          <w:b/>
          <w:sz w:val="24"/>
        </w:rPr>
        <w:lastRenderedPageBreak/>
        <w:t xml:space="preserve">CONSULTA. </w:t>
      </w:r>
      <w:r>
        <w:rPr>
          <w:b/>
          <w:sz w:val="24"/>
        </w:rPr>
        <w:tab/>
        <w:t xml:space="preserve">PESSOAL. </w:t>
      </w:r>
      <w:r>
        <w:rPr>
          <w:b/>
          <w:sz w:val="24"/>
        </w:rPr>
        <w:tab/>
        <w:t xml:space="preserve">CORPO </w:t>
      </w:r>
      <w:r>
        <w:rPr>
          <w:b/>
          <w:sz w:val="24"/>
        </w:rPr>
        <w:tab/>
        <w:t xml:space="preserve">DE </w:t>
      </w:r>
      <w:r>
        <w:rPr>
          <w:b/>
          <w:sz w:val="24"/>
        </w:rPr>
        <w:tab/>
        <w:t xml:space="preserve">BOMBEIROS </w:t>
      </w:r>
      <w:r>
        <w:rPr>
          <w:b/>
          <w:sz w:val="24"/>
        </w:rPr>
        <w:tab/>
        <w:t xml:space="preserve">MILITAR </w:t>
      </w:r>
      <w:r>
        <w:rPr>
          <w:b/>
          <w:sz w:val="24"/>
        </w:rPr>
        <w:tab/>
        <w:t xml:space="preserve">DO </w:t>
      </w:r>
      <w:r>
        <w:rPr>
          <w:b/>
          <w:sz w:val="24"/>
        </w:rPr>
        <w:tab/>
        <w:t xml:space="preserve">DISTRITO </w:t>
      </w:r>
      <w:r>
        <w:rPr>
          <w:b/>
          <w:sz w:val="24"/>
        </w:rPr>
        <w:tab/>
        <w:t xml:space="preserve">FEDERAL. </w:t>
      </w:r>
    </w:p>
    <w:p w14:paraId="307084E4" w14:textId="77777777" w:rsidR="001A479A" w:rsidRDefault="00000000">
      <w:pPr>
        <w:spacing w:after="5" w:line="250" w:lineRule="auto"/>
        <w:ind w:left="703" w:hanging="10"/>
        <w:jc w:val="both"/>
      </w:pPr>
      <w:r>
        <w:rPr>
          <w:b/>
          <w:sz w:val="24"/>
        </w:rPr>
        <w:t xml:space="preserve">GRATIFICAÇÃO DE REPRESENTAÇÃO MILITAR. LEGALIDADE DA COBRANÇA. PEDIDO DE REEXAME. ANÁLISE DE ADMISSIBILIDADE. AUSÊNCIA DE LEGITIMIDADE RECURSAL. NÃO CONHECIMENTO. </w:t>
      </w:r>
    </w:p>
    <w:p w14:paraId="67A6FDAF" w14:textId="77777777" w:rsidR="001A479A" w:rsidRDefault="00000000">
      <w:pPr>
        <w:spacing w:after="0"/>
        <w:ind w:left="1416"/>
      </w:pPr>
      <w:r>
        <w:rPr>
          <w:sz w:val="24"/>
        </w:rPr>
        <w:t xml:space="preserve"> </w:t>
      </w:r>
    </w:p>
    <w:p w14:paraId="0C5F2122" w14:textId="77777777" w:rsidR="001A479A" w:rsidRDefault="00000000">
      <w:pPr>
        <w:numPr>
          <w:ilvl w:val="1"/>
          <w:numId w:val="6"/>
        </w:numPr>
        <w:spacing w:after="5" w:line="249" w:lineRule="auto"/>
        <w:ind w:firstLine="698"/>
        <w:jc w:val="both"/>
      </w:pPr>
      <w:r>
        <w:rPr>
          <w:sz w:val="24"/>
        </w:rPr>
        <w:t xml:space="preserve">Ausentes os pressupostos de admissibilidade previstos no art. 47 da Lei Complementar n.º 1/1994, c/c os arts. 283 e 286 do RI/TCDF, o Pedido de Reexame não será conhecido pelo Tribunal.  </w:t>
      </w:r>
    </w:p>
    <w:p w14:paraId="3886C0D0" w14:textId="77777777" w:rsidR="001A479A" w:rsidRDefault="00000000">
      <w:pPr>
        <w:spacing w:after="0"/>
        <w:ind w:left="1416"/>
      </w:pPr>
      <w:r>
        <w:rPr>
          <w:sz w:val="24"/>
        </w:rPr>
        <w:t xml:space="preserve"> </w:t>
      </w:r>
    </w:p>
    <w:p w14:paraId="249FAC87" w14:textId="77777777" w:rsidR="001A479A" w:rsidRDefault="00000000">
      <w:pPr>
        <w:numPr>
          <w:ilvl w:val="1"/>
          <w:numId w:val="6"/>
        </w:numPr>
        <w:spacing w:after="5" w:line="249" w:lineRule="auto"/>
        <w:ind w:firstLine="698"/>
        <w:jc w:val="both"/>
      </w:pPr>
      <w:r>
        <w:rPr>
          <w:sz w:val="24"/>
        </w:rPr>
        <w:t xml:space="preserve">A participação de terceiros como amicus curiae é de caráter colaborativo, sendo sua atuação limitada, no âmbito recursal, à apresentação de embargos de declaração e no caso de decisão que julgar incidente de resolução de demandas repetitivas (art. 138, § 1º, do Código de Processo Civil).  </w:t>
      </w:r>
    </w:p>
    <w:p w14:paraId="1CAA7D07" w14:textId="77777777" w:rsidR="001A479A" w:rsidRDefault="00000000">
      <w:pPr>
        <w:spacing w:after="0"/>
        <w:ind w:left="1416"/>
      </w:pPr>
      <w:r>
        <w:rPr>
          <w:sz w:val="24"/>
        </w:rPr>
        <w:t xml:space="preserve"> </w:t>
      </w:r>
    </w:p>
    <w:p w14:paraId="538B420B" w14:textId="77777777" w:rsidR="001A479A" w:rsidRDefault="00000000">
      <w:pPr>
        <w:numPr>
          <w:ilvl w:val="1"/>
          <w:numId w:val="6"/>
        </w:numPr>
        <w:spacing w:after="5" w:line="249" w:lineRule="auto"/>
        <w:ind w:firstLine="698"/>
        <w:jc w:val="both"/>
      </w:pPr>
      <w:r>
        <w:rPr>
          <w:sz w:val="24"/>
        </w:rPr>
        <w:t xml:space="preserve">A atuação do amicus curiae em processo de natureza objetiva é meramente colaborativa e desprovida de interesse subjetivo. </w:t>
      </w:r>
    </w:p>
    <w:p w14:paraId="20718B4C" w14:textId="77777777" w:rsidR="001A479A" w:rsidRDefault="00000000">
      <w:pPr>
        <w:spacing w:after="0"/>
        <w:ind w:left="1416"/>
      </w:pPr>
      <w:r>
        <w:rPr>
          <w:sz w:val="24"/>
        </w:rPr>
        <w:t xml:space="preserve"> </w:t>
      </w:r>
    </w:p>
    <w:p w14:paraId="3EF99A48" w14:textId="77777777" w:rsidR="001A479A" w:rsidRDefault="00000000">
      <w:pPr>
        <w:spacing w:after="5" w:line="250" w:lineRule="auto"/>
        <w:ind w:left="703" w:hanging="10"/>
        <w:jc w:val="both"/>
      </w:pPr>
      <w:r>
        <w:rPr>
          <w:b/>
          <w:sz w:val="24"/>
        </w:rPr>
        <w:t xml:space="preserve">Relator:                                                                 Sessão: </w:t>
      </w:r>
    </w:p>
    <w:p w14:paraId="08A0946D" w14:textId="77777777" w:rsidR="001A479A" w:rsidRDefault="00000000">
      <w:pPr>
        <w:spacing w:after="5" w:line="250" w:lineRule="auto"/>
        <w:ind w:left="703" w:hanging="10"/>
        <w:jc w:val="both"/>
      </w:pPr>
      <w:r>
        <w:rPr>
          <w:b/>
          <w:sz w:val="24"/>
        </w:rPr>
        <w:t xml:space="preserve">André Clemente Lara de Oliveira                    ORDINÁRIA nº 5440, de 24/09/2025. </w:t>
      </w:r>
    </w:p>
    <w:p w14:paraId="136ACC07" w14:textId="77777777" w:rsidR="001A479A" w:rsidRDefault="00000000">
      <w:pPr>
        <w:spacing w:after="5" w:line="250" w:lineRule="auto"/>
        <w:ind w:left="703" w:hanging="10"/>
        <w:jc w:val="both"/>
      </w:pPr>
      <w:r>
        <w:rPr>
          <w:b/>
          <w:sz w:val="24"/>
        </w:rPr>
        <w:t xml:space="preserve">Decisão por unanimidade                                 </w:t>
      </w:r>
      <w:r>
        <w:rPr>
          <w:color w:val="0563C1"/>
          <w:sz w:val="24"/>
          <w:u w:val="single" w:color="0563C1"/>
        </w:rPr>
        <w:t>Proc. nº 18/2023</w:t>
      </w:r>
      <w:r>
        <w:rPr>
          <w:color w:val="2A69C5"/>
          <w:sz w:val="24"/>
          <w:u w:val="single" w:color="0563C1"/>
        </w:rPr>
        <w:t xml:space="preserve"> - </w:t>
      </w:r>
      <w:r>
        <w:rPr>
          <w:color w:val="0563C1"/>
          <w:sz w:val="24"/>
          <w:u w:val="single" w:color="0563C1"/>
        </w:rPr>
        <w:t>Dec. nº 3779/2025</w:t>
      </w:r>
      <w:r>
        <w:rPr>
          <w:b/>
          <w:sz w:val="24"/>
        </w:rPr>
        <w:t xml:space="preserve"> </w:t>
      </w:r>
    </w:p>
    <w:p w14:paraId="0321E564" w14:textId="77777777" w:rsidR="001A479A" w:rsidRDefault="00000000">
      <w:pPr>
        <w:spacing w:after="0"/>
        <w:ind w:left="708"/>
      </w:pPr>
      <w:r>
        <w:rPr>
          <w:b/>
          <w:sz w:val="24"/>
        </w:rPr>
        <w:t xml:space="preserve"> </w:t>
      </w:r>
    </w:p>
    <w:p w14:paraId="4669CD53" w14:textId="77777777" w:rsidR="001A479A" w:rsidRDefault="00000000">
      <w:pPr>
        <w:spacing w:after="3" w:line="253" w:lineRule="auto"/>
        <w:ind w:left="703" w:right="6733" w:hanging="10"/>
      </w:pPr>
      <w:r>
        <w:rPr>
          <w:b/>
          <w:sz w:val="24"/>
        </w:rPr>
        <w:t xml:space="preserve">Legislação relacionada: </w:t>
      </w:r>
      <w:r>
        <w:rPr>
          <w:sz w:val="24"/>
        </w:rPr>
        <w:t xml:space="preserve"> </w:t>
      </w:r>
      <w:r>
        <w:rPr>
          <w:rFonts w:ascii="Segoe UI" w:eastAsia="Segoe UI" w:hAnsi="Segoe UI" w:cs="Segoe UI"/>
          <w:color w:val="0563C1"/>
          <w:sz w:val="24"/>
          <w:u w:val="single" w:color="0563C1"/>
        </w:rPr>
        <w:t>Lei Orgânica do TCDF, Art. 47.</w:t>
      </w:r>
      <w:r>
        <w:rPr>
          <w:sz w:val="24"/>
        </w:rPr>
        <w:t xml:space="preserve"> </w:t>
      </w:r>
    </w:p>
    <w:p w14:paraId="63F6B222" w14:textId="77777777" w:rsidR="001A479A" w:rsidRDefault="00000000">
      <w:pPr>
        <w:spacing w:after="3" w:line="253" w:lineRule="auto"/>
        <w:ind w:left="703" w:hanging="10"/>
      </w:pPr>
      <w:r>
        <w:rPr>
          <w:rFonts w:ascii="Segoe UI" w:eastAsia="Segoe UI" w:hAnsi="Segoe UI" w:cs="Segoe UI"/>
          <w:color w:val="0563C1"/>
          <w:sz w:val="24"/>
          <w:u w:val="single" w:color="0563C1"/>
        </w:rPr>
        <w:t>Regimento Interno do TCDF, Art. 283.</w:t>
      </w:r>
      <w:r>
        <w:rPr>
          <w:rFonts w:ascii="Segoe UI" w:eastAsia="Segoe UI" w:hAnsi="Segoe UI" w:cs="Segoe UI"/>
          <w:sz w:val="24"/>
        </w:rPr>
        <w:t xml:space="preserve"> </w:t>
      </w:r>
    </w:p>
    <w:p w14:paraId="0A1CB00D" w14:textId="77777777" w:rsidR="001A479A" w:rsidRDefault="00000000">
      <w:pPr>
        <w:spacing w:after="3" w:line="253" w:lineRule="auto"/>
        <w:ind w:left="703" w:hanging="10"/>
      </w:pPr>
      <w:r>
        <w:rPr>
          <w:rFonts w:ascii="Segoe UI" w:eastAsia="Segoe UI" w:hAnsi="Segoe UI" w:cs="Segoe UI"/>
          <w:color w:val="0563C1"/>
          <w:sz w:val="24"/>
          <w:u w:val="single" w:color="0563C1"/>
        </w:rPr>
        <w:t>Regimento Interno do TCDF, Art. 286.</w:t>
      </w:r>
      <w:r>
        <w:rPr>
          <w:rFonts w:ascii="Segoe UI" w:eastAsia="Segoe UI" w:hAnsi="Segoe UI" w:cs="Segoe UI"/>
          <w:sz w:val="24"/>
        </w:rPr>
        <w:t xml:space="preserve"> </w:t>
      </w:r>
    </w:p>
    <w:p w14:paraId="099A9334" w14:textId="77777777" w:rsidR="001A479A" w:rsidRDefault="00000000">
      <w:pPr>
        <w:spacing w:after="3" w:line="253" w:lineRule="auto"/>
        <w:ind w:left="703" w:hanging="10"/>
      </w:pPr>
      <w:r>
        <w:rPr>
          <w:rFonts w:ascii="Segoe UI" w:eastAsia="Segoe UI" w:hAnsi="Segoe UI" w:cs="Segoe UI"/>
          <w:color w:val="0563C1"/>
          <w:sz w:val="24"/>
          <w:u w:val="single" w:color="0563C1"/>
        </w:rPr>
        <w:t>Lei nº 13.105/2015, Art. 138, § 1º.</w:t>
      </w:r>
      <w:r>
        <w:rPr>
          <w:rFonts w:ascii="Segoe UI" w:eastAsia="Segoe UI" w:hAnsi="Segoe UI" w:cs="Segoe UI"/>
          <w:color w:val="0563C1"/>
          <w:sz w:val="24"/>
        </w:rPr>
        <w:t xml:space="preserve"> </w:t>
      </w:r>
      <w:r>
        <w:rPr>
          <w:sz w:val="24"/>
        </w:rPr>
        <w:t xml:space="preserve"> </w:t>
      </w:r>
    </w:p>
    <w:p w14:paraId="0A0DF960" w14:textId="77777777" w:rsidR="001A479A" w:rsidRDefault="00000000">
      <w:pPr>
        <w:spacing w:after="565"/>
        <w:ind w:left="699"/>
      </w:pPr>
      <w:r>
        <w:rPr>
          <w:rFonts w:ascii="Segoe UI" w:eastAsia="Segoe UI" w:hAnsi="Segoe UI" w:cs="Segoe UI"/>
          <w:sz w:val="24"/>
        </w:rPr>
        <w:t xml:space="preserve"> </w:t>
      </w:r>
    </w:p>
    <w:p w14:paraId="5524964A" w14:textId="77777777" w:rsidR="001A479A" w:rsidRDefault="00000000">
      <w:pPr>
        <w:numPr>
          <w:ilvl w:val="0"/>
          <w:numId w:val="6"/>
        </w:numPr>
        <w:spacing w:after="5" w:line="250" w:lineRule="auto"/>
        <w:ind w:hanging="1205"/>
        <w:jc w:val="both"/>
      </w:pPr>
      <w:r>
        <w:rPr>
          <w:b/>
          <w:sz w:val="24"/>
        </w:rPr>
        <w:t xml:space="preserve">REPRESENTAÇÃO. COMPANHIA DE DESENVOLVIMENTO HABITACIONAL DO DISTRITO </w:t>
      </w:r>
    </w:p>
    <w:p w14:paraId="77A67A7C" w14:textId="77777777" w:rsidR="001A479A" w:rsidRDefault="00000000">
      <w:pPr>
        <w:spacing w:after="5" w:line="250" w:lineRule="auto"/>
        <w:ind w:left="703" w:hanging="10"/>
        <w:jc w:val="both"/>
      </w:pPr>
      <w:r>
        <w:rPr>
          <w:b/>
          <w:sz w:val="24"/>
        </w:rPr>
        <w:t xml:space="preserve">FEDERAL. IRREGULARIDADES DECORRENTES DA NÃO CONVOCAÇÃO DE APROVADOS EM CONCURSO PÚBLICO. EDITAL N.º 1/2018. DETERMINAÇÕES. CUMPRIMENTO. NOVA DETERMINAÇÃO. ARQUIVAMENTO. NOVA REPRESENTAÇÃO. SUPOSTO DESCUMPRIMENTO DE DECISÃO PLENÁRIA. PRAZO DE VALIDADE. SUSPENSÃO CAUTELAR. DEMANDA APRESENTADA POR CIDADÃ. MEDIDA CAUTELAR INDEFERIDA. MÉRITO. NOVAS DETERMINAÇÕES. </w:t>
      </w:r>
    </w:p>
    <w:p w14:paraId="48B5CC93" w14:textId="77777777" w:rsidR="001A479A" w:rsidRDefault="00000000">
      <w:pPr>
        <w:spacing w:after="0"/>
        <w:ind w:left="1416"/>
      </w:pPr>
      <w:r>
        <w:rPr>
          <w:sz w:val="24"/>
        </w:rPr>
        <w:t xml:space="preserve"> </w:t>
      </w:r>
    </w:p>
    <w:p w14:paraId="0176020A" w14:textId="77777777" w:rsidR="001A479A" w:rsidRDefault="00000000">
      <w:pPr>
        <w:numPr>
          <w:ilvl w:val="1"/>
          <w:numId w:val="6"/>
        </w:numPr>
        <w:spacing w:after="5" w:line="249" w:lineRule="auto"/>
        <w:ind w:firstLine="698"/>
        <w:jc w:val="both"/>
      </w:pPr>
      <w:r>
        <w:rPr>
          <w:sz w:val="24"/>
        </w:rPr>
        <w:t xml:space="preserve">Ao analisar o cumprimento de determinações, o Tribunal pode reiterar aquelas que considere não terem sido integralmente atendidas ou expedir novas diligências que se mostrem pertinentes, a exemplo da solicitação de informações e documentação complementares.  </w:t>
      </w:r>
    </w:p>
    <w:p w14:paraId="2738FCEC" w14:textId="77777777" w:rsidR="001A479A" w:rsidRDefault="00000000">
      <w:pPr>
        <w:spacing w:after="0"/>
        <w:ind w:left="1416"/>
      </w:pPr>
      <w:r>
        <w:rPr>
          <w:sz w:val="24"/>
        </w:rPr>
        <w:t xml:space="preserve"> </w:t>
      </w:r>
    </w:p>
    <w:p w14:paraId="504BA18E" w14:textId="77777777" w:rsidR="001A479A" w:rsidRDefault="00000000">
      <w:pPr>
        <w:numPr>
          <w:ilvl w:val="1"/>
          <w:numId w:val="6"/>
        </w:numPr>
        <w:spacing w:after="5" w:line="249" w:lineRule="auto"/>
        <w:ind w:firstLine="698"/>
        <w:jc w:val="both"/>
      </w:pPr>
      <w:r>
        <w:rPr>
          <w:sz w:val="24"/>
        </w:rPr>
        <w:lastRenderedPageBreak/>
        <w:t xml:space="preserve">A nomeação de servidores comissionados ou terceirização de atividades, com atribuições congruentes às de empregos que são objeto de concurso público vigente, pode vir a constituir comportamento tácito ou expresso do Poder Público capaz de revelar a inequívoca necessidade de nomeação do aprovado durante o período de validade do certame, nos termos do Tema n.º 784 da Repercussão Geral do Supremo Tribunal Federal, cabendo ao órgão jurisdicionado envidar esforços para nomear os eventuais candidatos aprovados, dentro do prazo de validade do certame, mesmo se fora do número de vagas ofertadas em Edital.  </w:t>
      </w:r>
    </w:p>
    <w:p w14:paraId="0081B64B" w14:textId="77777777" w:rsidR="001A479A" w:rsidRDefault="00000000">
      <w:pPr>
        <w:spacing w:after="0"/>
        <w:ind w:left="1416"/>
      </w:pPr>
      <w:r>
        <w:rPr>
          <w:sz w:val="24"/>
        </w:rPr>
        <w:t xml:space="preserve"> </w:t>
      </w:r>
    </w:p>
    <w:p w14:paraId="0B3B140C" w14:textId="77777777" w:rsidR="001A479A" w:rsidRDefault="00000000">
      <w:pPr>
        <w:numPr>
          <w:ilvl w:val="1"/>
          <w:numId w:val="6"/>
        </w:numPr>
        <w:spacing w:after="5" w:line="249" w:lineRule="auto"/>
        <w:ind w:firstLine="698"/>
        <w:jc w:val="both"/>
      </w:pPr>
      <w:r>
        <w:rPr>
          <w:sz w:val="24"/>
        </w:rPr>
        <w:t xml:space="preserve">Havendo desistência de candidatos melhor classificados, aqueles que passam a figurar dentro do número de vagas veem sua expectativa de direito convertida em direito líquido e certo, assegurando-lhes a nomeação imediata (STJ, RMS 55.667/TO, Rel. Min. Herman Benjamin, 12.12.17). </w:t>
      </w:r>
    </w:p>
    <w:p w14:paraId="747CB7B2" w14:textId="77777777" w:rsidR="001A479A" w:rsidRDefault="00000000">
      <w:pPr>
        <w:spacing w:after="464"/>
        <w:ind w:left="389"/>
      </w:pPr>
      <w:r>
        <w:rPr>
          <w:sz w:val="24"/>
        </w:rPr>
        <w:t xml:space="preserve"> </w:t>
      </w:r>
    </w:p>
    <w:p w14:paraId="6FA01ADD" w14:textId="77777777" w:rsidR="001A479A" w:rsidRDefault="00000000">
      <w:pPr>
        <w:numPr>
          <w:ilvl w:val="1"/>
          <w:numId w:val="6"/>
        </w:numPr>
        <w:spacing w:after="5" w:line="249" w:lineRule="auto"/>
        <w:ind w:firstLine="698"/>
        <w:jc w:val="both"/>
      </w:pPr>
      <w:r>
        <w:rPr>
          <w:sz w:val="24"/>
        </w:rPr>
        <w:t xml:space="preserve">A concessão de cautelar pela Corte de Contas demanda o cumprimento concomitante dos requisitos autorizadores específicos (fumus boni iuris e periculum in mora), na forma do art. 277 do Regimento Interno do TCDF, de modo que a ausência de ao menos um deles impede o deferimento da medida. </w:t>
      </w:r>
    </w:p>
    <w:p w14:paraId="6C3387CB" w14:textId="77777777" w:rsidR="001A479A" w:rsidRDefault="00000000">
      <w:pPr>
        <w:spacing w:after="0"/>
        <w:ind w:left="1416"/>
      </w:pPr>
      <w:r>
        <w:rPr>
          <w:sz w:val="24"/>
        </w:rPr>
        <w:t xml:space="preserve"> </w:t>
      </w:r>
    </w:p>
    <w:p w14:paraId="0FED6C29" w14:textId="77777777" w:rsidR="001A479A" w:rsidRDefault="00000000">
      <w:pPr>
        <w:spacing w:after="5" w:line="250" w:lineRule="auto"/>
        <w:ind w:left="703" w:hanging="10"/>
        <w:jc w:val="both"/>
      </w:pPr>
      <w:r>
        <w:rPr>
          <w:b/>
          <w:sz w:val="24"/>
        </w:rPr>
        <w:t xml:space="preserve">Relator:                                                                 Sessão: </w:t>
      </w:r>
    </w:p>
    <w:p w14:paraId="225B2CA6" w14:textId="77777777" w:rsidR="001A479A" w:rsidRDefault="00000000">
      <w:pPr>
        <w:spacing w:after="5" w:line="250" w:lineRule="auto"/>
        <w:ind w:left="703" w:hanging="10"/>
        <w:jc w:val="both"/>
      </w:pPr>
      <w:r>
        <w:rPr>
          <w:b/>
          <w:sz w:val="24"/>
        </w:rPr>
        <w:t xml:space="preserve">André Clemente Lara de Oliveira                    ORDINÁRIA nº 5441, de 01/10/2025. </w:t>
      </w:r>
    </w:p>
    <w:p w14:paraId="1ECCA849" w14:textId="77777777" w:rsidR="001A479A" w:rsidRDefault="00000000">
      <w:pPr>
        <w:spacing w:after="5" w:line="250" w:lineRule="auto"/>
        <w:ind w:left="703" w:hanging="10"/>
        <w:jc w:val="both"/>
      </w:pPr>
      <w:r>
        <w:rPr>
          <w:b/>
          <w:sz w:val="24"/>
        </w:rPr>
        <w:t xml:space="preserve">Decisão por unanimidade                                 </w:t>
      </w:r>
      <w:r>
        <w:rPr>
          <w:color w:val="0563C1"/>
          <w:sz w:val="24"/>
          <w:u w:val="single" w:color="0563C1"/>
        </w:rPr>
        <w:t>Proc. nº 5297/2023</w:t>
      </w:r>
      <w:r>
        <w:rPr>
          <w:color w:val="2A69C5"/>
          <w:sz w:val="24"/>
          <w:u w:val="single" w:color="0563C1"/>
        </w:rPr>
        <w:t xml:space="preserve"> - </w:t>
      </w:r>
      <w:r>
        <w:rPr>
          <w:color w:val="0563C1"/>
          <w:sz w:val="24"/>
          <w:u w:val="single" w:color="0563C1"/>
        </w:rPr>
        <w:t>Dec. nº 3879/2025</w:t>
      </w:r>
      <w:r>
        <w:rPr>
          <w:b/>
          <w:sz w:val="24"/>
        </w:rPr>
        <w:t xml:space="preserve"> </w:t>
      </w:r>
    </w:p>
    <w:p w14:paraId="2C60B30A" w14:textId="77777777" w:rsidR="001A479A" w:rsidRDefault="00000000">
      <w:pPr>
        <w:spacing w:after="0"/>
        <w:ind w:left="708"/>
      </w:pPr>
      <w:r>
        <w:rPr>
          <w:b/>
          <w:sz w:val="24"/>
        </w:rPr>
        <w:t xml:space="preserve"> </w:t>
      </w:r>
    </w:p>
    <w:p w14:paraId="14C15B28" w14:textId="77777777" w:rsidR="001A479A" w:rsidRDefault="00000000">
      <w:pPr>
        <w:spacing w:after="5" w:line="250" w:lineRule="auto"/>
        <w:ind w:left="703" w:hanging="10"/>
        <w:jc w:val="both"/>
      </w:pPr>
      <w:r>
        <w:rPr>
          <w:b/>
          <w:sz w:val="24"/>
        </w:rPr>
        <w:t>Precedentes externos:</w:t>
      </w:r>
      <w:r>
        <w:rPr>
          <w:sz w:val="24"/>
        </w:rPr>
        <w:t xml:space="preserve"> </w:t>
      </w:r>
    </w:p>
    <w:p w14:paraId="58D2BCCF" w14:textId="77777777" w:rsidR="001A479A" w:rsidRDefault="00000000">
      <w:pPr>
        <w:spacing w:after="3" w:line="253" w:lineRule="auto"/>
        <w:ind w:left="703" w:hanging="10"/>
      </w:pPr>
      <w:r>
        <w:rPr>
          <w:rFonts w:ascii="Segoe UI" w:eastAsia="Segoe UI" w:hAnsi="Segoe UI" w:cs="Segoe UI"/>
          <w:color w:val="0563C1"/>
          <w:sz w:val="24"/>
          <w:u w:val="single" w:color="0563C1"/>
        </w:rPr>
        <w:t>STF: Tema nº 784 de Repercussão Geral</w:t>
      </w:r>
      <w:r>
        <w:rPr>
          <w:rFonts w:ascii="Segoe UI" w:eastAsia="Segoe UI" w:hAnsi="Segoe UI" w:cs="Segoe UI"/>
          <w:sz w:val="24"/>
        </w:rPr>
        <w:t xml:space="preserve"> </w:t>
      </w:r>
    </w:p>
    <w:p w14:paraId="27A242A4" w14:textId="77777777" w:rsidR="001A479A" w:rsidRDefault="00000000">
      <w:pPr>
        <w:spacing w:after="3" w:line="253" w:lineRule="auto"/>
        <w:ind w:left="703" w:hanging="10"/>
      </w:pPr>
      <w:r>
        <w:rPr>
          <w:rFonts w:ascii="Segoe UI" w:eastAsia="Segoe UI" w:hAnsi="Segoe UI" w:cs="Segoe UI"/>
          <w:color w:val="0563C1"/>
          <w:sz w:val="24"/>
          <w:u w:val="single" w:color="0563C1"/>
        </w:rPr>
        <w:t>STJ: RMS nº 55.667/TO</w:t>
      </w:r>
      <w:r>
        <w:rPr>
          <w:sz w:val="24"/>
        </w:rPr>
        <w:t xml:space="preserve"> </w:t>
      </w:r>
    </w:p>
    <w:p w14:paraId="16E36792" w14:textId="77777777" w:rsidR="001A479A" w:rsidRDefault="00000000">
      <w:pPr>
        <w:spacing w:after="0"/>
        <w:ind w:left="708"/>
      </w:pPr>
      <w:r>
        <w:rPr>
          <w:b/>
          <w:sz w:val="24"/>
        </w:rPr>
        <w:t xml:space="preserve"> </w:t>
      </w:r>
    </w:p>
    <w:p w14:paraId="2D090549" w14:textId="77777777" w:rsidR="001A479A" w:rsidRDefault="00000000">
      <w:pPr>
        <w:spacing w:after="5" w:line="250" w:lineRule="auto"/>
        <w:ind w:left="703" w:hanging="10"/>
        <w:jc w:val="both"/>
      </w:pPr>
      <w:r>
        <w:rPr>
          <w:b/>
          <w:sz w:val="24"/>
        </w:rPr>
        <w:t xml:space="preserve">Legislação relacionada: </w:t>
      </w:r>
      <w:r>
        <w:rPr>
          <w:sz w:val="24"/>
        </w:rPr>
        <w:t xml:space="preserve"> </w:t>
      </w:r>
    </w:p>
    <w:p w14:paraId="4E1C92AB" w14:textId="77777777" w:rsidR="001A479A" w:rsidRDefault="00000000">
      <w:pPr>
        <w:spacing w:after="3" w:line="253" w:lineRule="auto"/>
        <w:ind w:left="703" w:hanging="10"/>
      </w:pPr>
      <w:r>
        <w:rPr>
          <w:rFonts w:ascii="Segoe UI" w:eastAsia="Segoe UI" w:hAnsi="Segoe UI" w:cs="Segoe UI"/>
          <w:color w:val="0563C1"/>
          <w:sz w:val="24"/>
          <w:u w:val="single" w:color="0563C1"/>
        </w:rPr>
        <w:t>Regimento Interno do TCDF, Art. 277.</w:t>
      </w:r>
      <w:r>
        <w:rPr>
          <w:rFonts w:ascii="Segoe UI" w:eastAsia="Segoe UI" w:hAnsi="Segoe UI" w:cs="Segoe UI"/>
          <w:sz w:val="24"/>
        </w:rPr>
        <w:t xml:space="preserve"> </w:t>
      </w:r>
    </w:p>
    <w:p w14:paraId="39337919" w14:textId="77777777" w:rsidR="001A479A" w:rsidRDefault="00000000">
      <w:pPr>
        <w:spacing w:after="0"/>
        <w:ind w:left="699"/>
      </w:pPr>
      <w:r>
        <w:rPr>
          <w:rFonts w:ascii="Segoe UI" w:eastAsia="Segoe UI" w:hAnsi="Segoe UI" w:cs="Segoe UI"/>
          <w:sz w:val="24"/>
        </w:rPr>
        <w:t xml:space="preserve"> </w:t>
      </w:r>
    </w:p>
    <w:p w14:paraId="06B978CC" w14:textId="77777777" w:rsidR="001A479A" w:rsidRDefault="00000000">
      <w:pPr>
        <w:spacing w:after="0"/>
        <w:ind w:left="708"/>
      </w:pPr>
      <w:r>
        <w:rPr>
          <w:color w:val="2A69C5"/>
          <w:sz w:val="24"/>
        </w:rPr>
        <w:t xml:space="preserve"> </w:t>
      </w:r>
    </w:p>
    <w:p w14:paraId="145BCCE1" w14:textId="77777777" w:rsidR="001A479A" w:rsidRDefault="00000000">
      <w:pPr>
        <w:spacing w:after="116"/>
        <w:ind w:left="708"/>
      </w:pPr>
      <w:r>
        <w:rPr>
          <w:color w:val="2A69C5"/>
          <w:sz w:val="24"/>
        </w:rPr>
        <w:t xml:space="preserve"> </w:t>
      </w:r>
    </w:p>
    <w:p w14:paraId="20CF9202" w14:textId="77777777" w:rsidR="001A479A" w:rsidRDefault="00000000">
      <w:pPr>
        <w:spacing w:after="428"/>
      </w:pPr>
      <w:r>
        <w:rPr>
          <w:b/>
          <w:color w:val="389EB8"/>
          <w:sz w:val="32"/>
        </w:rPr>
        <w:t xml:space="preserve">Processual (setembro a outubro/2025) </w:t>
      </w:r>
    </w:p>
    <w:p w14:paraId="56210807" w14:textId="77777777" w:rsidR="001A479A" w:rsidRDefault="00000000">
      <w:pPr>
        <w:spacing w:after="5" w:line="310" w:lineRule="auto"/>
        <w:ind w:left="708" w:hanging="497"/>
        <w:jc w:val="both"/>
      </w:pPr>
      <w:r>
        <w:rPr>
          <w:b/>
          <w:color w:val="218796"/>
          <w:sz w:val="40"/>
        </w:rPr>
        <w:t xml:space="preserve">1 </w:t>
      </w:r>
      <w:r>
        <w:rPr>
          <w:sz w:val="24"/>
        </w:rPr>
        <w:t xml:space="preserve">  </w:t>
      </w:r>
      <w:r>
        <w:rPr>
          <w:b/>
          <w:sz w:val="24"/>
        </w:rPr>
        <w:t xml:space="preserve">PROCESSUAL. REPRESENTAÇÃO. AÇÃO JUDICIAL. MATÉRIA COINCIDENTE. SOBRESTAMENTO. TRÂNSITO EM JULGADO. </w:t>
      </w:r>
    </w:p>
    <w:p w14:paraId="4C3DE250" w14:textId="77777777" w:rsidR="001A479A" w:rsidRDefault="00000000">
      <w:pPr>
        <w:spacing w:after="0"/>
        <w:ind w:left="1416"/>
      </w:pPr>
      <w:r>
        <w:rPr>
          <w:sz w:val="24"/>
        </w:rPr>
        <w:t xml:space="preserve"> </w:t>
      </w:r>
    </w:p>
    <w:p w14:paraId="7D1FF4DF" w14:textId="77777777" w:rsidR="001A479A" w:rsidRDefault="00000000">
      <w:pPr>
        <w:spacing w:after="5" w:line="249" w:lineRule="auto"/>
        <w:ind w:left="693" w:firstLine="698"/>
        <w:jc w:val="both"/>
      </w:pPr>
      <w:r>
        <w:rPr>
          <w:sz w:val="24"/>
        </w:rPr>
        <w:t xml:space="preserve">Em caso de ajuizamento de ação judicial versando sobre matéria idêntica (causa de pedir e pedido) àquela postulada via representação, é cabível o sobrestamento do processo em trâmite no </w:t>
      </w:r>
      <w:r>
        <w:rPr>
          <w:sz w:val="24"/>
        </w:rPr>
        <w:lastRenderedPageBreak/>
        <w:t xml:space="preserve">TCDF até o trânsito em julgado da ação judicial, de modo a evitar divergência de decisões entre as esferas controladora e judicial. </w:t>
      </w:r>
    </w:p>
    <w:p w14:paraId="4E01F8BC" w14:textId="77777777" w:rsidR="001A479A" w:rsidRDefault="00000000">
      <w:pPr>
        <w:spacing w:after="0"/>
        <w:ind w:left="1416"/>
      </w:pPr>
      <w:r>
        <w:rPr>
          <w:sz w:val="24"/>
        </w:rPr>
        <w:t xml:space="preserve"> </w:t>
      </w:r>
    </w:p>
    <w:p w14:paraId="3CB02987" w14:textId="77777777" w:rsidR="001A479A" w:rsidRDefault="00000000">
      <w:pPr>
        <w:spacing w:after="5" w:line="250" w:lineRule="auto"/>
        <w:ind w:left="703" w:hanging="10"/>
        <w:jc w:val="both"/>
      </w:pPr>
      <w:r>
        <w:rPr>
          <w:b/>
          <w:sz w:val="24"/>
        </w:rPr>
        <w:t xml:space="preserve">Relator:                                                                 Sessão: </w:t>
      </w:r>
    </w:p>
    <w:p w14:paraId="4D35E2BB" w14:textId="77777777" w:rsidR="001A479A" w:rsidRDefault="00000000">
      <w:pPr>
        <w:spacing w:after="5" w:line="250" w:lineRule="auto"/>
        <w:ind w:left="703" w:hanging="10"/>
        <w:jc w:val="both"/>
      </w:pPr>
      <w:r>
        <w:rPr>
          <w:b/>
          <w:sz w:val="24"/>
        </w:rPr>
        <w:t xml:space="preserve">Márcio Michel Alves De Oliveira                     ORDINÁRIA nº 5439, de 17/09/2025. </w:t>
      </w:r>
    </w:p>
    <w:p w14:paraId="2747ECBD" w14:textId="77777777" w:rsidR="001A479A" w:rsidRDefault="00000000">
      <w:pPr>
        <w:spacing w:after="5" w:line="250" w:lineRule="auto"/>
        <w:ind w:left="703" w:hanging="10"/>
        <w:jc w:val="both"/>
      </w:pPr>
      <w:r>
        <w:rPr>
          <w:b/>
          <w:sz w:val="24"/>
        </w:rPr>
        <w:t xml:space="preserve">Decisão por unanimidade                                 </w:t>
      </w:r>
      <w:r>
        <w:rPr>
          <w:color w:val="0563C1"/>
          <w:sz w:val="24"/>
          <w:u w:val="single" w:color="0563C1"/>
        </w:rPr>
        <w:t>Proc. nº 10546/2025</w:t>
      </w:r>
      <w:r>
        <w:rPr>
          <w:color w:val="2A69C5"/>
          <w:sz w:val="24"/>
          <w:u w:val="single" w:color="0563C1"/>
        </w:rPr>
        <w:t xml:space="preserve"> - </w:t>
      </w:r>
      <w:r>
        <w:rPr>
          <w:color w:val="0563C1"/>
          <w:sz w:val="24"/>
          <w:u w:val="single" w:color="0563C1"/>
        </w:rPr>
        <w:t>Dec. nº 3670/2025</w:t>
      </w:r>
      <w:r>
        <w:rPr>
          <w:b/>
          <w:sz w:val="24"/>
        </w:rPr>
        <w:t xml:space="preserve"> </w:t>
      </w:r>
    </w:p>
    <w:p w14:paraId="0D51C91C" w14:textId="77777777" w:rsidR="001A479A" w:rsidRDefault="00000000">
      <w:pPr>
        <w:spacing w:after="0"/>
        <w:ind w:left="708"/>
      </w:pPr>
      <w:r>
        <w:rPr>
          <w:b/>
          <w:sz w:val="24"/>
        </w:rPr>
        <w:t xml:space="preserve"> </w:t>
      </w:r>
    </w:p>
    <w:p w14:paraId="159CDE5D" w14:textId="77777777" w:rsidR="001A479A" w:rsidRDefault="00000000">
      <w:pPr>
        <w:spacing w:after="5" w:line="250" w:lineRule="auto"/>
        <w:ind w:left="703" w:hanging="10"/>
        <w:jc w:val="both"/>
      </w:pPr>
      <w:r>
        <w:rPr>
          <w:b/>
          <w:sz w:val="24"/>
        </w:rPr>
        <w:t xml:space="preserve">Decisões relacionadas: </w:t>
      </w:r>
      <w:r>
        <w:rPr>
          <w:sz w:val="24"/>
        </w:rPr>
        <w:t xml:space="preserve"> </w:t>
      </w:r>
    </w:p>
    <w:p w14:paraId="3E0B4930" w14:textId="77777777" w:rsidR="001A479A" w:rsidRDefault="00000000">
      <w:pPr>
        <w:spacing w:after="3" w:line="253" w:lineRule="auto"/>
        <w:ind w:left="703" w:hanging="10"/>
      </w:pPr>
      <w:r>
        <w:rPr>
          <w:rFonts w:ascii="Segoe UI" w:eastAsia="Segoe UI" w:hAnsi="Segoe UI" w:cs="Segoe UI"/>
          <w:color w:val="0563C1"/>
          <w:sz w:val="24"/>
          <w:u w:val="single" w:color="0563C1"/>
        </w:rPr>
        <w:t>TCDF: Decisão nº 1574/2024</w:t>
      </w:r>
      <w:r>
        <w:rPr>
          <w:sz w:val="24"/>
        </w:rPr>
        <w:t xml:space="preserve"> </w:t>
      </w:r>
    </w:p>
    <w:p w14:paraId="52038124" w14:textId="77777777" w:rsidR="001A479A" w:rsidRDefault="00000000">
      <w:pPr>
        <w:spacing w:after="3" w:line="253" w:lineRule="auto"/>
        <w:ind w:left="703" w:hanging="10"/>
      </w:pPr>
      <w:r>
        <w:rPr>
          <w:rFonts w:ascii="Segoe UI" w:eastAsia="Segoe UI" w:hAnsi="Segoe UI" w:cs="Segoe UI"/>
          <w:color w:val="0563C1"/>
          <w:sz w:val="24"/>
          <w:u w:val="single" w:color="0563C1"/>
        </w:rPr>
        <w:t>TCDF: Decisão nº 2353/2024</w:t>
      </w:r>
      <w:r>
        <w:rPr>
          <w:sz w:val="24"/>
        </w:rPr>
        <w:t xml:space="preserve"> </w:t>
      </w:r>
    </w:p>
    <w:p w14:paraId="6B7E1F96" w14:textId="77777777" w:rsidR="001A479A" w:rsidRDefault="00000000">
      <w:pPr>
        <w:spacing w:after="3" w:line="253" w:lineRule="auto"/>
        <w:ind w:left="703" w:hanging="10"/>
      </w:pPr>
      <w:r>
        <w:rPr>
          <w:rFonts w:ascii="Segoe UI" w:eastAsia="Segoe UI" w:hAnsi="Segoe UI" w:cs="Segoe UI"/>
          <w:color w:val="0563C1"/>
          <w:sz w:val="24"/>
          <w:u w:val="single" w:color="0563C1"/>
        </w:rPr>
        <w:t>TCDF: Decisão nº 3156/2024</w:t>
      </w:r>
      <w:r>
        <w:rPr>
          <w:sz w:val="24"/>
        </w:rPr>
        <w:t xml:space="preserve"> </w:t>
      </w:r>
    </w:p>
    <w:p w14:paraId="608EB1B4" w14:textId="77777777" w:rsidR="001A479A" w:rsidRDefault="00000000">
      <w:pPr>
        <w:spacing w:after="3" w:line="253" w:lineRule="auto"/>
        <w:ind w:left="703" w:hanging="10"/>
      </w:pPr>
      <w:r>
        <w:rPr>
          <w:rFonts w:ascii="Segoe UI" w:eastAsia="Segoe UI" w:hAnsi="Segoe UI" w:cs="Segoe UI"/>
          <w:color w:val="0563C1"/>
          <w:sz w:val="24"/>
          <w:u w:val="single" w:color="0563C1"/>
        </w:rPr>
        <w:t>TCDF: Decisão nº 3495/2024</w:t>
      </w:r>
      <w:r>
        <w:rPr>
          <w:sz w:val="24"/>
        </w:rPr>
        <w:t xml:space="preserve"> </w:t>
      </w:r>
    </w:p>
    <w:p w14:paraId="5D443C1A" w14:textId="77777777" w:rsidR="001A479A" w:rsidRDefault="00000000">
      <w:pPr>
        <w:spacing w:after="3" w:line="253" w:lineRule="auto"/>
        <w:ind w:left="703" w:hanging="10"/>
      </w:pPr>
      <w:r>
        <w:rPr>
          <w:rFonts w:ascii="Segoe UI" w:eastAsia="Segoe UI" w:hAnsi="Segoe UI" w:cs="Segoe UI"/>
          <w:color w:val="0563C1"/>
          <w:sz w:val="24"/>
          <w:u w:val="single" w:color="0563C1"/>
        </w:rPr>
        <w:t>TCDF: Decisão nº 3712/2024</w:t>
      </w:r>
      <w:r>
        <w:rPr>
          <w:sz w:val="24"/>
        </w:rPr>
        <w:t xml:space="preserve"> </w:t>
      </w:r>
    </w:p>
    <w:p w14:paraId="1DC29900" w14:textId="77777777" w:rsidR="001A479A" w:rsidRDefault="00000000">
      <w:pPr>
        <w:spacing w:after="3" w:line="253" w:lineRule="auto"/>
        <w:ind w:left="703" w:hanging="10"/>
      </w:pPr>
      <w:r>
        <w:rPr>
          <w:rFonts w:ascii="Segoe UI" w:eastAsia="Segoe UI" w:hAnsi="Segoe UI" w:cs="Segoe UI"/>
          <w:color w:val="0563C1"/>
          <w:sz w:val="24"/>
          <w:u w:val="single" w:color="0563C1"/>
        </w:rPr>
        <w:t>TCDF: Decisão nº 2268/2024</w:t>
      </w:r>
      <w:r>
        <w:rPr>
          <w:sz w:val="24"/>
        </w:rPr>
        <w:t xml:space="preserve"> </w:t>
      </w:r>
    </w:p>
    <w:p w14:paraId="4D744986" w14:textId="77777777" w:rsidR="001A479A" w:rsidRDefault="00000000">
      <w:pPr>
        <w:spacing w:after="3" w:line="253" w:lineRule="auto"/>
        <w:ind w:left="703" w:hanging="10"/>
      </w:pPr>
      <w:r>
        <w:rPr>
          <w:rFonts w:ascii="Segoe UI" w:eastAsia="Segoe UI" w:hAnsi="Segoe UI" w:cs="Segoe UI"/>
          <w:color w:val="0563C1"/>
          <w:sz w:val="24"/>
          <w:u w:val="single" w:color="0563C1"/>
        </w:rPr>
        <w:t>TCDF: Decisão nº 3452/2024</w:t>
      </w:r>
      <w:r>
        <w:rPr>
          <w:sz w:val="24"/>
        </w:rPr>
        <w:t xml:space="preserve"> </w:t>
      </w:r>
    </w:p>
    <w:p w14:paraId="01358030" w14:textId="77777777" w:rsidR="001A479A" w:rsidRDefault="00000000">
      <w:pPr>
        <w:spacing w:after="449"/>
        <w:ind w:left="708"/>
      </w:pPr>
      <w:r>
        <w:rPr>
          <w:rFonts w:ascii="Segoe UI" w:eastAsia="Segoe UI" w:hAnsi="Segoe UI" w:cs="Segoe UI"/>
          <w:sz w:val="24"/>
        </w:rPr>
        <w:t xml:space="preserve"> </w:t>
      </w:r>
    </w:p>
    <w:p w14:paraId="7C835121" w14:textId="77777777" w:rsidR="001A479A" w:rsidRDefault="00000000">
      <w:pPr>
        <w:tabs>
          <w:tab w:val="right" w:pos="10588"/>
        </w:tabs>
        <w:spacing w:after="5" w:line="250" w:lineRule="auto"/>
      </w:pPr>
      <w:r>
        <w:rPr>
          <w:b/>
          <w:color w:val="4A8FA1"/>
          <w:sz w:val="40"/>
        </w:rPr>
        <w:t>2</w:t>
      </w:r>
      <w:r>
        <w:rPr>
          <w:color w:val="004364"/>
          <w:sz w:val="40"/>
        </w:rPr>
        <w:t xml:space="preserve"> </w:t>
      </w:r>
      <w:r>
        <w:rPr>
          <w:sz w:val="24"/>
        </w:rPr>
        <w:t xml:space="preserve">  </w:t>
      </w:r>
      <w:r>
        <w:rPr>
          <w:sz w:val="24"/>
        </w:rPr>
        <w:tab/>
      </w:r>
      <w:r>
        <w:rPr>
          <w:b/>
          <w:sz w:val="24"/>
        </w:rPr>
        <w:t xml:space="preserve">REPRESENTAÇÃO. SECRETARIA DE ESTADO DA MULHER DO DISTRITO FEDERAL. EDITAL DE </w:t>
      </w:r>
    </w:p>
    <w:p w14:paraId="54CC58D2" w14:textId="77777777" w:rsidR="001A479A" w:rsidRDefault="00000000">
      <w:pPr>
        <w:spacing w:after="5" w:line="250" w:lineRule="auto"/>
        <w:ind w:left="703" w:hanging="10"/>
        <w:jc w:val="both"/>
      </w:pPr>
      <w:r>
        <w:rPr>
          <w:b/>
          <w:sz w:val="24"/>
        </w:rPr>
        <w:t xml:space="preserve">CHAMAMENTO PÚBLICO. PROGRAMA "MULHER NAS CIDADES". SUPOSTAS IRREGULARIDADES. CONHECIMENTO. DENEGAÇÃO DA CAUTELAR. PEDIDO DE CONHECIMENTO. REEXAME. PARCIAL </w:t>
      </w:r>
    </w:p>
    <w:p w14:paraId="3E786301" w14:textId="77777777" w:rsidR="001A479A" w:rsidRDefault="00000000">
      <w:pPr>
        <w:spacing w:after="5" w:line="250" w:lineRule="auto"/>
        <w:ind w:left="703" w:hanging="10"/>
        <w:jc w:val="both"/>
      </w:pPr>
      <w:r>
        <w:rPr>
          <w:b/>
          <w:sz w:val="24"/>
        </w:rPr>
        <w:t xml:space="preserve">IMPROCEDÊNCIA. PROVIMENTO. DETERMINAÇÃO. PEDIDO DE REEXAME DA JURISDICIONADA. </w:t>
      </w:r>
    </w:p>
    <w:p w14:paraId="2B7AFABA" w14:textId="77777777" w:rsidR="001A479A" w:rsidRDefault="00000000">
      <w:pPr>
        <w:spacing w:after="5" w:line="250" w:lineRule="auto"/>
        <w:ind w:left="703" w:hanging="10"/>
        <w:jc w:val="both"/>
      </w:pPr>
      <w:r>
        <w:rPr>
          <w:b/>
          <w:sz w:val="24"/>
        </w:rPr>
        <w:t>EXAME DE ADMISSIBILIDADE. CONHECIMENTO. EFEITOS DEVOLUTIVO E SUSPENSIVO. CONCESSÃO. PRELIMINAR DE CERCEAMENTO DE DEFESA. PROVIMENTO.</w:t>
      </w:r>
      <w:r>
        <w:rPr>
          <w:color w:val="004364"/>
          <w:sz w:val="40"/>
        </w:rPr>
        <w:t xml:space="preserve"> </w:t>
      </w:r>
    </w:p>
    <w:p w14:paraId="27F1717C" w14:textId="77777777" w:rsidR="001A479A" w:rsidRDefault="00000000">
      <w:pPr>
        <w:spacing w:after="0"/>
        <w:ind w:left="1416"/>
      </w:pPr>
      <w:r>
        <w:rPr>
          <w:sz w:val="24"/>
        </w:rPr>
        <w:t xml:space="preserve"> </w:t>
      </w:r>
    </w:p>
    <w:p w14:paraId="749B798F" w14:textId="77777777" w:rsidR="001A479A" w:rsidRDefault="00000000">
      <w:pPr>
        <w:numPr>
          <w:ilvl w:val="0"/>
          <w:numId w:val="7"/>
        </w:numPr>
        <w:spacing w:after="5" w:line="249" w:lineRule="auto"/>
        <w:ind w:firstLine="698"/>
        <w:jc w:val="both"/>
      </w:pPr>
      <w:r>
        <w:rPr>
          <w:sz w:val="24"/>
        </w:rPr>
        <w:t xml:space="preserve">Configura cerceamento de defesa a decisão que, diante de fatos novos, posterga sua análise para autos apartados, obstruindo o contraditório e a ampla defesa na fase cognitiva, com risco de efeitos processuais irreversíveis e violação ao devido processo legal. </w:t>
      </w:r>
    </w:p>
    <w:p w14:paraId="0B936926" w14:textId="77777777" w:rsidR="001A479A" w:rsidRDefault="00000000">
      <w:pPr>
        <w:spacing w:after="0"/>
        <w:ind w:left="1416"/>
      </w:pPr>
      <w:r>
        <w:rPr>
          <w:sz w:val="24"/>
        </w:rPr>
        <w:t xml:space="preserve">  </w:t>
      </w:r>
    </w:p>
    <w:p w14:paraId="31359692" w14:textId="77777777" w:rsidR="001A479A" w:rsidRDefault="00000000">
      <w:pPr>
        <w:numPr>
          <w:ilvl w:val="0"/>
          <w:numId w:val="7"/>
        </w:numPr>
        <w:spacing w:after="5" w:line="249" w:lineRule="auto"/>
        <w:ind w:firstLine="698"/>
        <w:jc w:val="both"/>
      </w:pPr>
      <w:r>
        <w:rPr>
          <w:sz w:val="24"/>
        </w:rPr>
        <w:t xml:space="preserve">O Tribunal não se limita à exordial, podendo instaurar autos próprios para apurar fatos novos identificados em demandas distintas, sempre observadas as garantias constitucionais e o devido processo legal, configurando se instrumento essencial ao Controle Externo e à Administração Pública. </w:t>
      </w:r>
    </w:p>
    <w:p w14:paraId="6FDE289E" w14:textId="77777777" w:rsidR="001A479A" w:rsidRDefault="00000000">
      <w:pPr>
        <w:spacing w:after="0"/>
        <w:ind w:left="1416"/>
      </w:pPr>
      <w:r>
        <w:rPr>
          <w:sz w:val="24"/>
        </w:rPr>
        <w:t xml:space="preserve"> </w:t>
      </w:r>
    </w:p>
    <w:p w14:paraId="38C91D79" w14:textId="77777777" w:rsidR="001A479A" w:rsidRDefault="00000000">
      <w:pPr>
        <w:spacing w:after="5" w:line="250" w:lineRule="auto"/>
        <w:ind w:left="703" w:hanging="10"/>
        <w:jc w:val="both"/>
      </w:pPr>
      <w:r>
        <w:rPr>
          <w:b/>
          <w:sz w:val="24"/>
        </w:rPr>
        <w:t xml:space="preserve">Relator:                                                                 Sessão: </w:t>
      </w:r>
    </w:p>
    <w:p w14:paraId="167C9056" w14:textId="77777777" w:rsidR="001A479A" w:rsidRDefault="00000000">
      <w:pPr>
        <w:spacing w:after="5" w:line="250" w:lineRule="auto"/>
        <w:ind w:left="703" w:hanging="10"/>
        <w:jc w:val="both"/>
      </w:pPr>
      <w:r>
        <w:rPr>
          <w:b/>
          <w:sz w:val="24"/>
        </w:rPr>
        <w:t xml:space="preserve">André Clemente Lara de Oliveira                    ORDINÁRIA nº 5440, de 24/09/2025. </w:t>
      </w:r>
    </w:p>
    <w:p w14:paraId="43BA03DD" w14:textId="77777777" w:rsidR="001A479A" w:rsidRDefault="00000000">
      <w:pPr>
        <w:spacing w:after="5" w:line="250" w:lineRule="auto"/>
        <w:ind w:left="703" w:hanging="10"/>
        <w:jc w:val="both"/>
      </w:pPr>
      <w:r>
        <w:rPr>
          <w:b/>
          <w:sz w:val="24"/>
        </w:rPr>
        <w:t xml:space="preserve">Decisão por maioria                                           </w:t>
      </w:r>
      <w:r>
        <w:rPr>
          <w:color w:val="0563C1"/>
          <w:sz w:val="24"/>
          <w:u w:val="single" w:color="0563C1"/>
        </w:rPr>
        <w:t>Proc. nº 15631/2023</w:t>
      </w:r>
      <w:r>
        <w:rPr>
          <w:color w:val="2A69C5"/>
          <w:sz w:val="24"/>
          <w:u w:val="single" w:color="0563C1"/>
        </w:rPr>
        <w:t xml:space="preserve"> - </w:t>
      </w:r>
      <w:r>
        <w:rPr>
          <w:color w:val="0563C1"/>
          <w:sz w:val="24"/>
          <w:u w:val="single" w:color="0563C1"/>
        </w:rPr>
        <w:t>Dec. nº 3770/2025</w:t>
      </w:r>
      <w:r>
        <w:rPr>
          <w:b/>
          <w:sz w:val="24"/>
        </w:rPr>
        <w:t xml:space="preserve"> </w:t>
      </w:r>
    </w:p>
    <w:p w14:paraId="52332035" w14:textId="77777777" w:rsidR="001A479A" w:rsidRDefault="00000000">
      <w:pPr>
        <w:spacing w:after="0"/>
        <w:ind w:left="708"/>
      </w:pPr>
      <w:r>
        <w:rPr>
          <w:b/>
          <w:sz w:val="24"/>
        </w:rPr>
        <w:t xml:space="preserve"> </w:t>
      </w:r>
    </w:p>
    <w:p w14:paraId="0E6772D0" w14:textId="77777777" w:rsidR="001A479A" w:rsidRDefault="00000000">
      <w:pPr>
        <w:spacing w:after="5" w:line="250" w:lineRule="auto"/>
        <w:ind w:left="703" w:hanging="10"/>
        <w:jc w:val="both"/>
      </w:pPr>
      <w:r>
        <w:rPr>
          <w:b/>
          <w:sz w:val="24"/>
        </w:rPr>
        <w:t>Precedentes externos:</w:t>
      </w:r>
      <w:r>
        <w:rPr>
          <w:sz w:val="24"/>
        </w:rPr>
        <w:t xml:space="preserve"> </w:t>
      </w:r>
    </w:p>
    <w:p w14:paraId="31AC5C12" w14:textId="77777777" w:rsidR="001A479A" w:rsidRDefault="00000000">
      <w:pPr>
        <w:spacing w:after="3" w:line="253" w:lineRule="auto"/>
        <w:ind w:left="703" w:hanging="10"/>
      </w:pPr>
      <w:r>
        <w:rPr>
          <w:rFonts w:ascii="Segoe UI" w:eastAsia="Segoe UI" w:hAnsi="Segoe UI" w:cs="Segoe UI"/>
          <w:color w:val="0563C1"/>
          <w:sz w:val="24"/>
          <w:u w:val="single" w:color="0563C1"/>
        </w:rPr>
        <w:t>TCU: Acórdão 1670/2021 - Plenário</w:t>
      </w:r>
      <w:r>
        <w:rPr>
          <w:sz w:val="24"/>
        </w:rPr>
        <w:t xml:space="preserve"> </w:t>
      </w:r>
    </w:p>
    <w:p w14:paraId="3C54F575" w14:textId="77777777" w:rsidR="001A479A" w:rsidRDefault="00000000">
      <w:pPr>
        <w:spacing w:after="3" w:line="253" w:lineRule="auto"/>
        <w:ind w:left="703" w:hanging="10"/>
      </w:pPr>
      <w:r>
        <w:rPr>
          <w:rFonts w:ascii="Segoe UI" w:eastAsia="Segoe UI" w:hAnsi="Segoe UI" w:cs="Segoe UI"/>
          <w:color w:val="0563C1"/>
          <w:sz w:val="24"/>
          <w:u w:val="single" w:color="0563C1"/>
        </w:rPr>
        <w:lastRenderedPageBreak/>
        <w:t>TCU: Acórdão 3615/2015 - Primeira Câmara</w:t>
      </w:r>
      <w:r>
        <w:rPr>
          <w:rFonts w:ascii="Segoe UI" w:eastAsia="Segoe UI" w:hAnsi="Segoe UI" w:cs="Segoe UI"/>
          <w:sz w:val="24"/>
        </w:rPr>
        <w:t xml:space="preserve"> </w:t>
      </w:r>
    </w:p>
    <w:p w14:paraId="225957F5" w14:textId="77777777" w:rsidR="001A479A" w:rsidRDefault="00000000">
      <w:pPr>
        <w:spacing w:after="3" w:line="253" w:lineRule="auto"/>
        <w:ind w:left="703" w:hanging="10"/>
      </w:pPr>
      <w:r>
        <w:rPr>
          <w:rFonts w:ascii="Segoe UI" w:eastAsia="Segoe UI" w:hAnsi="Segoe UI" w:cs="Segoe UI"/>
          <w:color w:val="0563C1"/>
          <w:sz w:val="24"/>
          <w:u w:val="single" w:color="0563C1"/>
        </w:rPr>
        <w:t>TCU: Acórdão 3520/2025 - Primeira Câmara</w:t>
      </w:r>
      <w:r>
        <w:rPr>
          <w:rFonts w:ascii="Segoe UI" w:eastAsia="Segoe UI" w:hAnsi="Segoe UI" w:cs="Segoe UI"/>
          <w:sz w:val="24"/>
        </w:rPr>
        <w:t xml:space="preserve"> </w:t>
      </w:r>
    </w:p>
    <w:p w14:paraId="58900C4C" w14:textId="77777777" w:rsidR="001A479A" w:rsidRDefault="00000000">
      <w:pPr>
        <w:spacing w:after="3" w:line="253" w:lineRule="auto"/>
        <w:ind w:left="703" w:hanging="10"/>
      </w:pPr>
      <w:r>
        <w:rPr>
          <w:rFonts w:ascii="Segoe UI" w:eastAsia="Segoe UI" w:hAnsi="Segoe UI" w:cs="Segoe UI"/>
          <w:color w:val="0563C1"/>
          <w:sz w:val="24"/>
          <w:u w:val="single" w:color="0563C1"/>
        </w:rPr>
        <w:t>TJDFT: Acórdão nº 1386854</w:t>
      </w:r>
      <w:r>
        <w:rPr>
          <w:rFonts w:ascii="Segoe UI" w:eastAsia="Segoe UI" w:hAnsi="Segoe UI" w:cs="Segoe UI"/>
          <w:sz w:val="24"/>
        </w:rPr>
        <w:t xml:space="preserve"> </w:t>
      </w:r>
    </w:p>
    <w:p w14:paraId="2934A597" w14:textId="77777777" w:rsidR="001A479A" w:rsidRDefault="00000000">
      <w:pPr>
        <w:spacing w:after="0"/>
        <w:ind w:left="708"/>
      </w:pPr>
      <w:r>
        <w:rPr>
          <w:rFonts w:ascii="Segoe UI" w:eastAsia="Segoe UI" w:hAnsi="Segoe UI" w:cs="Segoe UI"/>
          <w:sz w:val="24"/>
        </w:rPr>
        <w:t xml:space="preserve"> </w:t>
      </w:r>
    </w:p>
    <w:p w14:paraId="63C14D7F" w14:textId="77777777" w:rsidR="001A479A" w:rsidRDefault="00000000">
      <w:pPr>
        <w:spacing w:after="5" w:line="250" w:lineRule="auto"/>
        <w:ind w:left="703" w:hanging="10"/>
        <w:jc w:val="both"/>
      </w:pPr>
      <w:r>
        <w:rPr>
          <w:b/>
          <w:sz w:val="24"/>
        </w:rPr>
        <w:t xml:space="preserve">Legislação relacionada: </w:t>
      </w:r>
      <w:r>
        <w:rPr>
          <w:sz w:val="24"/>
        </w:rPr>
        <w:t xml:space="preserve"> </w:t>
      </w:r>
    </w:p>
    <w:p w14:paraId="09C6F175" w14:textId="77777777" w:rsidR="001A479A" w:rsidRDefault="00000000">
      <w:pPr>
        <w:spacing w:after="3" w:line="253" w:lineRule="auto"/>
        <w:ind w:left="703" w:hanging="10"/>
      </w:pPr>
      <w:r>
        <w:rPr>
          <w:rFonts w:ascii="Segoe UI" w:eastAsia="Segoe UI" w:hAnsi="Segoe UI" w:cs="Segoe UI"/>
          <w:color w:val="0563C1"/>
          <w:sz w:val="24"/>
          <w:u w:val="single" w:color="0563C1"/>
        </w:rPr>
        <w:t>Lei nº 13.105/2015, Art. 9º.</w:t>
      </w:r>
      <w:r>
        <w:rPr>
          <w:rFonts w:ascii="Segoe UI" w:eastAsia="Segoe UI" w:hAnsi="Segoe UI" w:cs="Segoe UI"/>
          <w:color w:val="0563C1"/>
          <w:sz w:val="24"/>
        </w:rPr>
        <w:t xml:space="preserve"> </w:t>
      </w:r>
      <w:r>
        <w:rPr>
          <w:rFonts w:ascii="Segoe UI" w:eastAsia="Segoe UI" w:hAnsi="Segoe UI" w:cs="Segoe UI"/>
          <w:sz w:val="24"/>
        </w:rPr>
        <w:t xml:space="preserve">  </w:t>
      </w:r>
      <w:r>
        <w:rPr>
          <w:sz w:val="24"/>
        </w:rPr>
        <w:t xml:space="preserve"> </w:t>
      </w:r>
    </w:p>
    <w:p w14:paraId="3029D3B2" w14:textId="77777777" w:rsidR="001A479A" w:rsidRDefault="00000000">
      <w:pPr>
        <w:spacing w:after="3" w:line="253" w:lineRule="auto"/>
        <w:ind w:left="703" w:hanging="10"/>
      </w:pPr>
      <w:r>
        <w:rPr>
          <w:rFonts w:ascii="Segoe UI" w:eastAsia="Segoe UI" w:hAnsi="Segoe UI" w:cs="Segoe UI"/>
          <w:color w:val="0563C1"/>
          <w:sz w:val="24"/>
          <w:u w:val="single" w:color="0563C1"/>
        </w:rPr>
        <w:t>Lei nº 13.105/2015, Art. 10.</w:t>
      </w:r>
      <w:r>
        <w:rPr>
          <w:sz w:val="24"/>
        </w:rPr>
        <w:t xml:space="preserve"> </w:t>
      </w:r>
    </w:p>
    <w:p w14:paraId="4FAB245C" w14:textId="77777777" w:rsidR="001A479A" w:rsidRDefault="00000000">
      <w:pPr>
        <w:spacing w:after="3" w:line="253" w:lineRule="auto"/>
        <w:ind w:left="703" w:hanging="10"/>
      </w:pPr>
      <w:r>
        <w:rPr>
          <w:rFonts w:ascii="Segoe UI" w:eastAsia="Segoe UI" w:hAnsi="Segoe UI" w:cs="Segoe UI"/>
          <w:color w:val="0563C1"/>
          <w:sz w:val="24"/>
          <w:u w:val="single" w:color="0563C1"/>
        </w:rPr>
        <w:t>Regimento Interno do TCDF, Art. 102, § 3º.</w:t>
      </w:r>
      <w:r>
        <w:rPr>
          <w:rFonts w:ascii="Segoe UI" w:eastAsia="Segoe UI" w:hAnsi="Segoe UI" w:cs="Segoe UI"/>
          <w:sz w:val="24"/>
        </w:rPr>
        <w:t xml:space="preserve"> </w:t>
      </w:r>
    </w:p>
    <w:p w14:paraId="739ECF4F" w14:textId="77777777" w:rsidR="001A479A" w:rsidRDefault="00000000">
      <w:pPr>
        <w:spacing w:after="569"/>
      </w:pPr>
      <w:r>
        <w:rPr>
          <w:rFonts w:ascii="Segoe UI" w:eastAsia="Segoe UI" w:hAnsi="Segoe UI" w:cs="Segoe UI"/>
          <w:sz w:val="24"/>
        </w:rPr>
        <w:t xml:space="preserve"> </w:t>
      </w:r>
    </w:p>
    <w:p w14:paraId="2E840D80" w14:textId="77777777" w:rsidR="001A479A" w:rsidRDefault="00000000">
      <w:pPr>
        <w:tabs>
          <w:tab w:val="center" w:pos="313"/>
          <w:tab w:val="right" w:pos="10588"/>
        </w:tabs>
        <w:spacing w:after="5" w:line="250" w:lineRule="auto"/>
      </w:pPr>
      <w:r>
        <w:tab/>
      </w:r>
      <w:r>
        <w:rPr>
          <w:b/>
          <w:color w:val="4A8FA1"/>
          <w:sz w:val="62"/>
          <w:vertAlign w:val="superscript"/>
        </w:rPr>
        <w:t>3</w:t>
      </w:r>
      <w:r>
        <w:rPr>
          <w:color w:val="004364"/>
          <w:sz w:val="40"/>
        </w:rPr>
        <w:t xml:space="preserve"> </w:t>
      </w:r>
      <w:r>
        <w:rPr>
          <w:sz w:val="24"/>
        </w:rPr>
        <w:t xml:space="preserve">  </w:t>
      </w:r>
      <w:r>
        <w:rPr>
          <w:sz w:val="24"/>
        </w:rPr>
        <w:tab/>
      </w:r>
      <w:r>
        <w:rPr>
          <w:b/>
          <w:sz w:val="24"/>
        </w:rPr>
        <w:t xml:space="preserve">REPRESENTAÇÃO. MINISTÉRIO PÚBLICO JUNTO AO TRIBUNAL DE CONTAS DO DISTRITO </w:t>
      </w:r>
    </w:p>
    <w:p w14:paraId="1B06AE76" w14:textId="77777777" w:rsidR="001A479A" w:rsidRDefault="00000000">
      <w:pPr>
        <w:spacing w:after="5" w:line="250" w:lineRule="auto"/>
        <w:ind w:left="703" w:hanging="10"/>
        <w:jc w:val="both"/>
      </w:pPr>
      <w:r>
        <w:rPr>
          <w:b/>
          <w:sz w:val="24"/>
        </w:rPr>
        <w:t xml:space="preserve">FEDERAL. SECRETARIA DE ESTADO DE SAÚDE DO DISTRITO FEDERAL. SERVIÇO DE OXIGENOTERAPIA DOMICILIAR. PARCIAL PROCEDÊNCIA. AUTUAÇÃO DE PROCESSO APARTADO. ANÁLISE DAS RAZÕES DE JUSTIFICATIVA. PRESCRIÇÕES QUINQUENAL E INTERCORRENTE. OCORRÊNCIA EM RELAÇÃO A UMA DAS RESPONSÁVEIS. CULPA IN VIGILANDO. INEXISTÊNCIA. PROCEDÊNCIA. </w:t>
      </w:r>
    </w:p>
    <w:p w14:paraId="6A5F98DD" w14:textId="77777777" w:rsidR="001A479A" w:rsidRDefault="00000000">
      <w:pPr>
        <w:spacing w:after="0"/>
        <w:ind w:left="1416"/>
      </w:pPr>
      <w:r>
        <w:rPr>
          <w:sz w:val="24"/>
        </w:rPr>
        <w:t xml:space="preserve"> </w:t>
      </w:r>
    </w:p>
    <w:p w14:paraId="707858BC" w14:textId="77777777" w:rsidR="001A479A" w:rsidRDefault="00000000">
      <w:pPr>
        <w:numPr>
          <w:ilvl w:val="0"/>
          <w:numId w:val="8"/>
        </w:numPr>
        <w:spacing w:after="5" w:line="249" w:lineRule="auto"/>
        <w:ind w:firstLine="698"/>
        <w:jc w:val="both"/>
      </w:pPr>
      <w:r>
        <w:rPr>
          <w:sz w:val="24"/>
        </w:rPr>
        <w:t xml:space="preserve">A continuidade prevista no art. 1º, inciso III, da Decisão Normativa TCDF n.º 5/2021 exige a equivalência objetiva - violação, tempo, lugar e modo de execução semelhantes - e subjetiva - nexo subjetivo das ações em continuidade - entre as irregularidades.  </w:t>
      </w:r>
    </w:p>
    <w:p w14:paraId="53F10734" w14:textId="77777777" w:rsidR="001A479A" w:rsidRDefault="00000000">
      <w:pPr>
        <w:spacing w:after="0"/>
        <w:ind w:left="1416"/>
      </w:pPr>
      <w:r>
        <w:rPr>
          <w:sz w:val="24"/>
        </w:rPr>
        <w:t xml:space="preserve"> </w:t>
      </w:r>
    </w:p>
    <w:p w14:paraId="60AE26BD" w14:textId="77777777" w:rsidR="001A479A" w:rsidRDefault="00000000">
      <w:pPr>
        <w:numPr>
          <w:ilvl w:val="0"/>
          <w:numId w:val="8"/>
        </w:numPr>
        <w:spacing w:after="5" w:line="249" w:lineRule="auto"/>
        <w:ind w:firstLine="698"/>
        <w:jc w:val="both"/>
      </w:pPr>
      <w:r>
        <w:rPr>
          <w:sz w:val="24"/>
        </w:rPr>
        <w:t xml:space="preserve">A segregação das funções é critério primordial para a adequada individualização das condutas e a avaliação do nexo causal, dada a atuação de diversos agentes, de maneira sucessiva ou simultânea.  </w:t>
      </w:r>
    </w:p>
    <w:p w14:paraId="1410FA21" w14:textId="77777777" w:rsidR="001A479A" w:rsidRDefault="00000000">
      <w:pPr>
        <w:spacing w:after="0"/>
        <w:ind w:left="1416"/>
      </w:pPr>
      <w:r>
        <w:rPr>
          <w:sz w:val="24"/>
        </w:rPr>
        <w:t xml:space="preserve"> </w:t>
      </w:r>
    </w:p>
    <w:p w14:paraId="6A5872D1" w14:textId="77777777" w:rsidR="001A479A" w:rsidRDefault="00000000">
      <w:pPr>
        <w:numPr>
          <w:ilvl w:val="0"/>
          <w:numId w:val="8"/>
        </w:numPr>
        <w:spacing w:after="0" w:line="240" w:lineRule="auto"/>
        <w:ind w:firstLine="698"/>
        <w:jc w:val="both"/>
      </w:pPr>
      <w:r>
        <w:rPr>
          <w:sz w:val="24"/>
        </w:rPr>
        <w:t xml:space="preserve">A responsabilidade do agente deve ser analisada à luz do poder hierárquico por ele exercido em relação às unidades administrativas a ele subordinadas, para verificar a existência ou não de culpa in vigilando, na forma do art. 12, § 7º, do Decreto Federal n.º 9.830/2019. </w:t>
      </w:r>
    </w:p>
    <w:p w14:paraId="5E39A9EB" w14:textId="77777777" w:rsidR="001A479A" w:rsidRDefault="00000000">
      <w:pPr>
        <w:spacing w:after="0"/>
        <w:ind w:left="1416"/>
      </w:pPr>
      <w:r>
        <w:rPr>
          <w:sz w:val="24"/>
        </w:rPr>
        <w:t xml:space="preserve"> </w:t>
      </w:r>
    </w:p>
    <w:p w14:paraId="65388F16" w14:textId="77777777" w:rsidR="001A479A" w:rsidRDefault="00000000">
      <w:pPr>
        <w:spacing w:after="5" w:line="250" w:lineRule="auto"/>
        <w:ind w:left="703" w:hanging="10"/>
        <w:jc w:val="both"/>
      </w:pPr>
      <w:r>
        <w:rPr>
          <w:b/>
          <w:sz w:val="24"/>
        </w:rPr>
        <w:t xml:space="preserve">Relator:                                                                 Sessão: </w:t>
      </w:r>
    </w:p>
    <w:p w14:paraId="45D61C5A" w14:textId="77777777" w:rsidR="001A479A" w:rsidRDefault="00000000">
      <w:pPr>
        <w:spacing w:after="5" w:line="250" w:lineRule="auto"/>
        <w:ind w:left="703" w:hanging="10"/>
        <w:jc w:val="both"/>
      </w:pPr>
      <w:r>
        <w:rPr>
          <w:b/>
          <w:sz w:val="24"/>
        </w:rPr>
        <w:t xml:space="preserve">André Clemente Lara de Oliveira                    ORDINÁRIA nº 5440, de 24/09/2025. </w:t>
      </w:r>
    </w:p>
    <w:p w14:paraId="420A8EF9" w14:textId="77777777" w:rsidR="001A479A" w:rsidRDefault="00000000">
      <w:pPr>
        <w:spacing w:after="5" w:line="250" w:lineRule="auto"/>
        <w:ind w:left="703" w:hanging="10"/>
        <w:jc w:val="both"/>
      </w:pPr>
      <w:r>
        <w:rPr>
          <w:b/>
          <w:sz w:val="24"/>
        </w:rPr>
        <w:t xml:space="preserve">Decisão por unanimidade                                 </w:t>
      </w:r>
      <w:r>
        <w:rPr>
          <w:color w:val="0563C1"/>
          <w:sz w:val="24"/>
          <w:u w:val="single" w:color="0563C1"/>
        </w:rPr>
        <w:t>Proc. nº 9462/2024</w:t>
      </w:r>
      <w:r>
        <w:rPr>
          <w:color w:val="2A69C5"/>
          <w:sz w:val="24"/>
          <w:u w:val="single" w:color="0563C1"/>
        </w:rPr>
        <w:t xml:space="preserve"> - </w:t>
      </w:r>
      <w:r>
        <w:rPr>
          <w:color w:val="0563C1"/>
          <w:sz w:val="24"/>
          <w:u w:val="single" w:color="0563C1"/>
        </w:rPr>
        <w:t>Dec. nº 3798/2025</w:t>
      </w:r>
      <w:r>
        <w:rPr>
          <w:b/>
          <w:sz w:val="24"/>
        </w:rPr>
        <w:t xml:space="preserve"> </w:t>
      </w:r>
    </w:p>
    <w:p w14:paraId="2A1BBDFA" w14:textId="77777777" w:rsidR="001A479A" w:rsidRDefault="00000000">
      <w:pPr>
        <w:spacing w:after="0"/>
        <w:ind w:left="708"/>
      </w:pPr>
      <w:r>
        <w:rPr>
          <w:b/>
          <w:sz w:val="24"/>
        </w:rPr>
        <w:t xml:space="preserve"> </w:t>
      </w:r>
    </w:p>
    <w:p w14:paraId="0553D94B" w14:textId="77777777" w:rsidR="001A479A" w:rsidRDefault="00000000">
      <w:pPr>
        <w:spacing w:after="5" w:line="250" w:lineRule="auto"/>
        <w:ind w:left="703" w:hanging="10"/>
        <w:jc w:val="both"/>
      </w:pPr>
      <w:r>
        <w:rPr>
          <w:b/>
          <w:sz w:val="24"/>
        </w:rPr>
        <w:t xml:space="preserve">Legislação relacionada: </w:t>
      </w:r>
      <w:r>
        <w:rPr>
          <w:sz w:val="24"/>
        </w:rPr>
        <w:t xml:space="preserve"> </w:t>
      </w:r>
    </w:p>
    <w:p w14:paraId="7CC3D1EF" w14:textId="77777777" w:rsidR="001A479A" w:rsidRDefault="00000000">
      <w:pPr>
        <w:spacing w:after="3" w:line="253" w:lineRule="auto"/>
        <w:ind w:left="703" w:hanging="10"/>
      </w:pPr>
      <w:r>
        <w:rPr>
          <w:rFonts w:ascii="Segoe UI" w:eastAsia="Segoe UI" w:hAnsi="Segoe UI" w:cs="Segoe UI"/>
          <w:color w:val="0563C1"/>
          <w:sz w:val="24"/>
          <w:u w:val="single" w:color="0563C1"/>
        </w:rPr>
        <w:t>Decreto nº 9.830/2019, Art. 12, § 7º.</w:t>
      </w:r>
      <w:r>
        <w:rPr>
          <w:rFonts w:ascii="Segoe UI" w:eastAsia="Segoe UI" w:hAnsi="Segoe UI" w:cs="Segoe UI"/>
          <w:sz w:val="24"/>
        </w:rPr>
        <w:t xml:space="preserve">   </w:t>
      </w:r>
      <w:r>
        <w:rPr>
          <w:sz w:val="24"/>
        </w:rPr>
        <w:t xml:space="preserve"> </w:t>
      </w:r>
    </w:p>
    <w:p w14:paraId="7F59A6CC" w14:textId="77777777" w:rsidR="001A479A" w:rsidRDefault="00000000">
      <w:pPr>
        <w:spacing w:after="108" w:line="239" w:lineRule="auto"/>
        <w:ind w:right="10522"/>
      </w:pPr>
      <w:r>
        <w:rPr>
          <w:rFonts w:ascii="Segoe UI" w:eastAsia="Segoe UI" w:hAnsi="Segoe UI" w:cs="Segoe UI"/>
          <w:sz w:val="24"/>
        </w:rPr>
        <w:t xml:space="preserve">  </w:t>
      </w:r>
    </w:p>
    <w:p w14:paraId="2D60CC62" w14:textId="77777777" w:rsidR="001A479A" w:rsidRDefault="00000000">
      <w:pPr>
        <w:spacing w:after="59"/>
      </w:pPr>
      <w:r>
        <w:rPr>
          <w:b/>
          <w:color w:val="004582"/>
          <w:sz w:val="32"/>
        </w:rPr>
        <w:t xml:space="preserve"> </w:t>
      </w:r>
    </w:p>
    <w:p w14:paraId="758D9135" w14:textId="77777777" w:rsidR="001A479A" w:rsidRDefault="00000000">
      <w:pPr>
        <w:spacing w:after="623"/>
      </w:pPr>
      <w:r>
        <w:rPr>
          <w:b/>
          <w:color w:val="C45911"/>
          <w:sz w:val="32"/>
        </w:rPr>
        <w:t xml:space="preserve">Gestão Pública (setembro a outubro/2025) </w:t>
      </w:r>
    </w:p>
    <w:p w14:paraId="530894A4" w14:textId="77777777" w:rsidR="001A479A" w:rsidRDefault="00000000">
      <w:pPr>
        <w:tabs>
          <w:tab w:val="center" w:pos="287"/>
          <w:tab w:val="right" w:pos="10588"/>
        </w:tabs>
        <w:spacing w:after="5" w:line="250" w:lineRule="auto"/>
      </w:pPr>
      <w:r>
        <w:lastRenderedPageBreak/>
        <w:tab/>
      </w:r>
      <w:r>
        <w:rPr>
          <w:b/>
          <w:color w:val="C45911"/>
          <w:sz w:val="40"/>
        </w:rPr>
        <w:t>1</w:t>
      </w:r>
      <w:r>
        <w:rPr>
          <w:color w:val="C45911"/>
          <w:sz w:val="40"/>
        </w:rPr>
        <w:t xml:space="preserve">   </w:t>
      </w:r>
      <w:r>
        <w:rPr>
          <w:sz w:val="24"/>
        </w:rPr>
        <w:t xml:space="preserve">  </w:t>
      </w:r>
      <w:r>
        <w:rPr>
          <w:sz w:val="24"/>
        </w:rPr>
        <w:tab/>
      </w:r>
      <w:r>
        <w:rPr>
          <w:b/>
          <w:sz w:val="24"/>
        </w:rPr>
        <w:t xml:space="preserve">GESTÃO PÚBLICA. SITUAÇÃO DE PERIGO OU EMERGÊNCIA. REQUISIÇÃO ADMINISTRATIVA. </w:t>
      </w:r>
    </w:p>
    <w:p w14:paraId="0B3B311F" w14:textId="77777777" w:rsidR="001A479A" w:rsidRDefault="00000000">
      <w:pPr>
        <w:spacing w:after="5" w:line="250" w:lineRule="auto"/>
        <w:ind w:left="703" w:hanging="10"/>
        <w:jc w:val="both"/>
      </w:pPr>
      <w:r>
        <w:rPr>
          <w:b/>
          <w:sz w:val="24"/>
        </w:rPr>
        <w:t xml:space="preserve">INTERVENÇÃO EM PROPRIE DADE PRIVADA. CONTRATO. RESCISÃO UNILATERAL. </w:t>
      </w:r>
    </w:p>
    <w:p w14:paraId="78D8280F" w14:textId="77777777" w:rsidR="001A479A" w:rsidRDefault="00000000">
      <w:pPr>
        <w:spacing w:after="0"/>
        <w:ind w:left="1416"/>
      </w:pPr>
      <w:r>
        <w:rPr>
          <w:sz w:val="24"/>
        </w:rPr>
        <w:t xml:space="preserve"> </w:t>
      </w:r>
    </w:p>
    <w:p w14:paraId="1785B153" w14:textId="77777777" w:rsidR="001A479A" w:rsidRDefault="00000000">
      <w:pPr>
        <w:spacing w:after="5" w:line="249" w:lineRule="auto"/>
        <w:ind w:left="693" w:firstLine="698"/>
        <w:jc w:val="both"/>
      </w:pPr>
      <w:r>
        <w:rPr>
          <w:sz w:val="24"/>
        </w:rPr>
        <w:t xml:space="preserve">É compatível com o regime jurídico decorrente de requisição admi nistrativa a rescisão unilateral, desde que adequadamente moti vada, de contrato celebrado por entidade alvo da intervenção pública, ainda que vigente cláusula dispondo de forma diversa, pois a assunção estatal da gestão contratual autoriza medidas unilate rais voltadas ao atendimento do interesse público. </w:t>
      </w:r>
    </w:p>
    <w:p w14:paraId="7EF089F3" w14:textId="77777777" w:rsidR="001A479A" w:rsidRDefault="00000000">
      <w:pPr>
        <w:spacing w:after="0"/>
        <w:ind w:left="1416"/>
      </w:pPr>
      <w:r>
        <w:rPr>
          <w:sz w:val="24"/>
        </w:rPr>
        <w:t xml:space="preserve"> </w:t>
      </w:r>
    </w:p>
    <w:p w14:paraId="6CE93672" w14:textId="77777777" w:rsidR="001A479A" w:rsidRDefault="00000000">
      <w:pPr>
        <w:spacing w:after="5" w:line="250" w:lineRule="auto"/>
        <w:ind w:left="703" w:hanging="10"/>
        <w:jc w:val="both"/>
      </w:pPr>
      <w:r>
        <w:rPr>
          <w:b/>
          <w:sz w:val="24"/>
        </w:rPr>
        <w:t xml:space="preserve">Relator:                                                                 Sessão: </w:t>
      </w:r>
    </w:p>
    <w:p w14:paraId="49DAA754" w14:textId="77777777" w:rsidR="001A479A" w:rsidRDefault="00000000">
      <w:pPr>
        <w:spacing w:after="5" w:line="250" w:lineRule="auto"/>
        <w:ind w:left="703" w:hanging="10"/>
        <w:jc w:val="both"/>
      </w:pPr>
      <w:r>
        <w:rPr>
          <w:b/>
          <w:sz w:val="24"/>
        </w:rPr>
        <w:t xml:space="preserve">Márcio Michel Alves De Oliveira                     ORDINÁRIA nº 5438, de 10/09/2025. </w:t>
      </w:r>
    </w:p>
    <w:p w14:paraId="64521B5A" w14:textId="77777777" w:rsidR="001A479A" w:rsidRDefault="00000000">
      <w:pPr>
        <w:spacing w:after="5" w:line="250" w:lineRule="auto"/>
        <w:ind w:left="703" w:hanging="10"/>
        <w:jc w:val="both"/>
      </w:pPr>
      <w:r>
        <w:rPr>
          <w:b/>
          <w:sz w:val="24"/>
        </w:rPr>
        <w:t xml:space="preserve">Decisão por unanimidade                                 </w:t>
      </w:r>
      <w:r>
        <w:rPr>
          <w:color w:val="0563C1"/>
          <w:sz w:val="24"/>
          <w:u w:val="single" w:color="0563C1"/>
        </w:rPr>
        <w:t>Proc. nº 15000/2024</w:t>
      </w:r>
      <w:r>
        <w:rPr>
          <w:color w:val="2A69C5"/>
          <w:sz w:val="24"/>
          <w:u w:val="single" w:color="0563C1"/>
        </w:rPr>
        <w:t xml:space="preserve"> - </w:t>
      </w:r>
      <w:r>
        <w:rPr>
          <w:color w:val="0563C1"/>
          <w:sz w:val="24"/>
          <w:u w:val="single" w:color="0563C1"/>
        </w:rPr>
        <w:t>Dec. nº 3567/2025</w:t>
      </w:r>
      <w:r>
        <w:rPr>
          <w:b/>
          <w:sz w:val="24"/>
        </w:rPr>
        <w:t xml:space="preserve"> </w:t>
      </w:r>
    </w:p>
    <w:p w14:paraId="3CF043BB" w14:textId="77777777" w:rsidR="001A479A" w:rsidRDefault="00000000">
      <w:pPr>
        <w:spacing w:after="0"/>
        <w:ind w:left="708"/>
      </w:pPr>
      <w:r>
        <w:rPr>
          <w:b/>
          <w:sz w:val="24"/>
        </w:rPr>
        <w:t xml:space="preserve"> </w:t>
      </w:r>
    </w:p>
    <w:p w14:paraId="68633652" w14:textId="77777777" w:rsidR="001A479A" w:rsidRDefault="00000000">
      <w:pPr>
        <w:spacing w:after="5" w:line="250" w:lineRule="auto"/>
        <w:ind w:left="703" w:hanging="10"/>
        <w:jc w:val="both"/>
      </w:pPr>
      <w:r>
        <w:rPr>
          <w:b/>
          <w:sz w:val="24"/>
        </w:rPr>
        <w:t xml:space="preserve">Legislação relacionada: </w:t>
      </w:r>
      <w:r>
        <w:rPr>
          <w:sz w:val="24"/>
        </w:rPr>
        <w:t xml:space="preserve"> </w:t>
      </w:r>
    </w:p>
    <w:p w14:paraId="4127DC61" w14:textId="77777777" w:rsidR="001A479A" w:rsidRDefault="00000000">
      <w:pPr>
        <w:spacing w:after="3" w:line="253" w:lineRule="auto"/>
        <w:ind w:left="703" w:hanging="10"/>
      </w:pPr>
      <w:r>
        <w:rPr>
          <w:rFonts w:ascii="Segoe UI" w:eastAsia="Segoe UI" w:hAnsi="Segoe UI" w:cs="Segoe UI"/>
          <w:color w:val="0563C1"/>
          <w:sz w:val="24"/>
          <w:u w:val="single" w:color="0563C1"/>
        </w:rPr>
        <w:t>Lei nº 8.080/1990, Art. 15, XII.</w:t>
      </w:r>
      <w:r>
        <w:rPr>
          <w:rFonts w:ascii="Segoe UI" w:eastAsia="Segoe UI" w:hAnsi="Segoe UI" w:cs="Segoe UI"/>
          <w:sz w:val="24"/>
        </w:rPr>
        <w:t xml:space="preserve">   </w:t>
      </w:r>
      <w:r>
        <w:rPr>
          <w:sz w:val="24"/>
        </w:rPr>
        <w:t xml:space="preserve"> </w:t>
      </w:r>
    </w:p>
    <w:p w14:paraId="313E40FE" w14:textId="77777777" w:rsidR="001A479A" w:rsidRDefault="00000000">
      <w:pPr>
        <w:spacing w:after="3" w:line="253" w:lineRule="auto"/>
        <w:ind w:left="703" w:hanging="10"/>
      </w:pPr>
      <w:r>
        <w:rPr>
          <w:rFonts w:ascii="Segoe UI" w:eastAsia="Segoe UI" w:hAnsi="Segoe UI" w:cs="Segoe UI"/>
          <w:color w:val="0563C1"/>
          <w:sz w:val="24"/>
          <w:u w:val="single" w:color="0563C1"/>
        </w:rPr>
        <w:t>Lei nº 14.133/2021, aRT. 124, I.</w:t>
      </w:r>
      <w:r>
        <w:rPr>
          <w:sz w:val="24"/>
        </w:rPr>
        <w:t xml:space="preserve"> </w:t>
      </w:r>
    </w:p>
    <w:p w14:paraId="3C501C40" w14:textId="77777777" w:rsidR="001A479A" w:rsidRDefault="00000000">
      <w:pPr>
        <w:spacing w:after="3" w:line="253" w:lineRule="auto"/>
        <w:ind w:left="703" w:hanging="10"/>
      </w:pPr>
      <w:r>
        <w:rPr>
          <w:rFonts w:ascii="Segoe UI" w:eastAsia="Segoe UI" w:hAnsi="Segoe UI" w:cs="Segoe UI"/>
          <w:color w:val="0563C1"/>
          <w:sz w:val="24"/>
          <w:u w:val="single" w:color="0563C1"/>
        </w:rPr>
        <w:t>Decreto-lei nº 4.657/1942, Art. 22.</w:t>
      </w:r>
      <w:r>
        <w:rPr>
          <w:rFonts w:ascii="Segoe UI" w:eastAsia="Segoe UI" w:hAnsi="Segoe UI" w:cs="Segoe UI"/>
          <w:sz w:val="24"/>
        </w:rPr>
        <w:t xml:space="preserve"> </w:t>
      </w:r>
    </w:p>
    <w:p w14:paraId="6858A421" w14:textId="77777777" w:rsidR="001A479A" w:rsidRDefault="00000000">
      <w:pPr>
        <w:spacing w:after="116"/>
        <w:ind w:left="708"/>
      </w:pPr>
      <w:r>
        <w:rPr>
          <w:color w:val="2A69C5"/>
          <w:sz w:val="24"/>
        </w:rPr>
        <w:t xml:space="preserve"> </w:t>
      </w:r>
    </w:p>
    <w:p w14:paraId="2B9D80DF" w14:textId="77777777" w:rsidR="001A479A" w:rsidRDefault="00000000">
      <w:pPr>
        <w:spacing w:after="604"/>
        <w:ind w:left="389"/>
      </w:pPr>
      <w:r>
        <w:rPr>
          <w:color w:val="F6A700"/>
          <w:sz w:val="32"/>
        </w:rPr>
        <w:t xml:space="preserve"> </w:t>
      </w:r>
    </w:p>
    <w:p w14:paraId="5465C0A7" w14:textId="77777777" w:rsidR="001A479A" w:rsidRDefault="00000000">
      <w:pPr>
        <w:spacing w:after="461"/>
      </w:pPr>
      <w:r>
        <w:rPr>
          <w:b/>
          <w:color w:val="004364"/>
          <w:sz w:val="32"/>
        </w:rPr>
        <w:t xml:space="preserve"> </w:t>
      </w:r>
    </w:p>
    <w:p w14:paraId="5E9CB81C" w14:textId="77777777" w:rsidR="001A479A" w:rsidRDefault="00000000">
      <w:pPr>
        <w:spacing w:after="462"/>
        <w:ind w:left="708"/>
      </w:pPr>
      <w:r>
        <w:rPr>
          <w:color w:val="F6A700"/>
          <w:sz w:val="32"/>
        </w:rPr>
        <w:t xml:space="preserve"> </w:t>
      </w:r>
    </w:p>
    <w:p w14:paraId="3D4FE429" w14:textId="77777777" w:rsidR="001A479A" w:rsidRDefault="00000000">
      <w:pPr>
        <w:spacing w:after="0"/>
        <w:ind w:left="708"/>
      </w:pPr>
      <w:r>
        <w:rPr>
          <w:color w:val="F6A700"/>
          <w:sz w:val="32"/>
        </w:rPr>
        <w:t xml:space="preserve"> </w:t>
      </w:r>
    </w:p>
    <w:sectPr w:rsidR="001A479A">
      <w:headerReference w:type="even" r:id="rId7"/>
      <w:headerReference w:type="default" r:id="rId8"/>
      <w:footerReference w:type="even" r:id="rId9"/>
      <w:footerReference w:type="default" r:id="rId10"/>
      <w:headerReference w:type="first" r:id="rId11"/>
      <w:footerReference w:type="first" r:id="rId12"/>
      <w:pgSz w:w="11906" w:h="16838"/>
      <w:pgMar w:top="2569" w:right="627" w:bottom="1779" w:left="691" w:header="297" w:footer="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C82BB0" w14:textId="77777777" w:rsidR="00190069" w:rsidRDefault="00190069">
      <w:pPr>
        <w:spacing w:after="0" w:line="240" w:lineRule="auto"/>
      </w:pPr>
      <w:r>
        <w:separator/>
      </w:r>
    </w:p>
  </w:endnote>
  <w:endnote w:type="continuationSeparator" w:id="0">
    <w:p w14:paraId="2AE65D34" w14:textId="77777777" w:rsidR="00190069" w:rsidRDefault="001900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949D6" w14:textId="77777777" w:rsidR="001A479A" w:rsidRDefault="00000000">
    <w:pPr>
      <w:tabs>
        <w:tab w:val="center" w:pos="10073"/>
      </w:tabs>
      <w:spacing w:after="0"/>
    </w:pPr>
    <w:r>
      <w:rPr>
        <w:noProof/>
      </w:rPr>
      <mc:AlternateContent>
        <mc:Choice Requires="wpg">
          <w:drawing>
            <wp:anchor distT="0" distB="0" distL="114300" distR="114300" simplePos="0" relativeHeight="251661312" behindDoc="0" locked="0" layoutInCell="1" allowOverlap="1" wp14:anchorId="3A8FB609" wp14:editId="36474E43">
              <wp:simplePos x="0" y="0"/>
              <wp:positionH relativeFrom="page">
                <wp:posOffset>462280</wp:posOffset>
              </wp:positionH>
              <wp:positionV relativeFrom="page">
                <wp:posOffset>9805911</wp:posOffset>
              </wp:positionV>
              <wp:extent cx="6120765" cy="19050"/>
              <wp:effectExtent l="0" t="0" r="0" b="0"/>
              <wp:wrapSquare wrapText="bothSides"/>
              <wp:docPr id="16746" name="Group 16746"/>
              <wp:cNvGraphicFramePr/>
              <a:graphic xmlns:a="http://schemas.openxmlformats.org/drawingml/2006/main">
                <a:graphicData uri="http://schemas.microsoft.com/office/word/2010/wordprocessingGroup">
                  <wpg:wgp>
                    <wpg:cNvGrpSpPr/>
                    <wpg:grpSpPr>
                      <a:xfrm>
                        <a:off x="0" y="0"/>
                        <a:ext cx="6120765" cy="19050"/>
                        <a:chOff x="0" y="0"/>
                        <a:chExt cx="6120765" cy="19050"/>
                      </a:xfrm>
                    </wpg:grpSpPr>
                    <wps:wsp>
                      <wps:cNvPr id="16747" name="Shape 16747"/>
                      <wps:cNvSpPr/>
                      <wps:spPr>
                        <a:xfrm>
                          <a:off x="0" y="0"/>
                          <a:ext cx="6120765" cy="0"/>
                        </a:xfrm>
                        <a:custGeom>
                          <a:avLst/>
                          <a:gdLst/>
                          <a:ahLst/>
                          <a:cxnLst/>
                          <a:rect l="0" t="0" r="0" b="0"/>
                          <a:pathLst>
                            <a:path w="6120765">
                              <a:moveTo>
                                <a:pt x="0" y="0"/>
                              </a:moveTo>
                              <a:lnTo>
                                <a:pt x="6120765" y="0"/>
                              </a:lnTo>
                            </a:path>
                          </a:pathLst>
                        </a:custGeom>
                        <a:ln w="19050" cap="flat">
                          <a:miter lim="127000"/>
                        </a:ln>
                      </wps:spPr>
                      <wps:style>
                        <a:lnRef idx="1">
                          <a:srgbClr val="00608F"/>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6746" style="width:481.95pt;height:1.5pt;position:absolute;mso-position-horizontal-relative:page;mso-position-horizontal:absolute;margin-left:36.4pt;mso-position-vertical-relative:page;margin-top:772.119pt;" coordsize="61207,190">
              <v:shape id="Shape 16747" style="position:absolute;width:61207;height:0;left:0;top:0;" coordsize="6120765,0" path="m0,0l6120765,0">
                <v:stroke weight="1.5pt" endcap="flat" joinstyle="miter" miterlimit="10" on="true" color="#00608f"/>
                <v:fill on="false" color="#000000" opacity="0"/>
              </v:shape>
              <w10:wrap type="square"/>
            </v:group>
          </w:pict>
        </mc:Fallback>
      </mc:AlternateContent>
    </w:r>
    <w:r>
      <w:rPr>
        <w:b/>
        <w:color w:val="00608F"/>
        <w:sz w:val="40"/>
      </w:rPr>
      <w:tab/>
    </w:r>
    <w:r>
      <w:fldChar w:fldCharType="begin"/>
    </w:r>
    <w:r>
      <w:instrText xml:space="preserve"> PAGE   \* MERGEFORMAT </w:instrText>
    </w:r>
    <w:r>
      <w:fldChar w:fldCharType="separate"/>
    </w:r>
    <w:r>
      <w:rPr>
        <w:b/>
        <w:color w:val="00608F"/>
        <w:sz w:val="40"/>
      </w:rPr>
      <w:t>1</w:t>
    </w:r>
    <w:r>
      <w:rPr>
        <w:b/>
        <w:color w:val="00608F"/>
        <w:sz w:val="40"/>
      </w:rPr>
      <w:fldChar w:fldCharType="end"/>
    </w:r>
    <w:r>
      <w:rPr>
        <w:b/>
        <w:color w:val="00608F"/>
        <w:sz w:val="40"/>
      </w:rPr>
      <w:t xml:space="preserve"> </w:t>
    </w:r>
  </w:p>
  <w:p w14:paraId="6A42687D" w14:textId="77777777" w:rsidR="001A479A" w:rsidRDefault="00000000">
    <w:pPr>
      <w:spacing w:after="0"/>
      <w:ind w:right="442"/>
      <w:jc w:val="center"/>
    </w:pPr>
    <w:r>
      <w:rPr>
        <w:sz w:val="16"/>
      </w:rPr>
      <w:t xml:space="preserve">Coordenadoria de Gestão do Conhecimento Institucional – CGCI </w:t>
    </w:r>
  </w:p>
  <w:p w14:paraId="10AF63C5" w14:textId="77777777" w:rsidR="001A479A" w:rsidRDefault="00000000">
    <w:pPr>
      <w:spacing w:after="459"/>
      <w:ind w:left="1361"/>
    </w:pPr>
    <w:r>
      <w:rPr>
        <w:sz w:val="16"/>
      </w:rPr>
      <w:t xml:space="preserve">Supervisão de Legislação e Jurisprudência - SLJ Telefone: (61) 3314-2226/2259 e-mail: jurisprudencia@tc.df.gov.br </w:t>
    </w:r>
  </w:p>
  <w:p w14:paraId="339346AC" w14:textId="77777777" w:rsidR="001A479A" w:rsidRDefault="00000000">
    <w:pPr>
      <w:spacing w:after="0"/>
      <w:ind w:left="-94"/>
    </w:pPr>
    <w:r>
      <w:rPr>
        <w:sz w:val="16"/>
      </w:rPr>
      <w:t>Documento assinado digitalmente. Para verificar as assinaturas, acesse www.tc.df.gov.br/autenticidade e informe o e-DOC DEADA2C9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34F7E" w14:textId="77777777" w:rsidR="001A479A" w:rsidRDefault="00000000">
    <w:pPr>
      <w:tabs>
        <w:tab w:val="center" w:pos="10073"/>
      </w:tabs>
      <w:spacing w:after="0"/>
    </w:pPr>
    <w:r>
      <w:rPr>
        <w:noProof/>
      </w:rPr>
      <mc:AlternateContent>
        <mc:Choice Requires="wpg">
          <w:drawing>
            <wp:anchor distT="0" distB="0" distL="114300" distR="114300" simplePos="0" relativeHeight="251662336" behindDoc="0" locked="0" layoutInCell="1" allowOverlap="1" wp14:anchorId="689235C2" wp14:editId="4C253003">
              <wp:simplePos x="0" y="0"/>
              <wp:positionH relativeFrom="page">
                <wp:posOffset>462280</wp:posOffset>
              </wp:positionH>
              <wp:positionV relativeFrom="page">
                <wp:posOffset>9805911</wp:posOffset>
              </wp:positionV>
              <wp:extent cx="6120765" cy="19050"/>
              <wp:effectExtent l="0" t="0" r="0" b="0"/>
              <wp:wrapSquare wrapText="bothSides"/>
              <wp:docPr id="16675" name="Group 16675"/>
              <wp:cNvGraphicFramePr/>
              <a:graphic xmlns:a="http://schemas.openxmlformats.org/drawingml/2006/main">
                <a:graphicData uri="http://schemas.microsoft.com/office/word/2010/wordprocessingGroup">
                  <wpg:wgp>
                    <wpg:cNvGrpSpPr/>
                    <wpg:grpSpPr>
                      <a:xfrm>
                        <a:off x="0" y="0"/>
                        <a:ext cx="6120765" cy="19050"/>
                        <a:chOff x="0" y="0"/>
                        <a:chExt cx="6120765" cy="19050"/>
                      </a:xfrm>
                    </wpg:grpSpPr>
                    <wps:wsp>
                      <wps:cNvPr id="16676" name="Shape 16676"/>
                      <wps:cNvSpPr/>
                      <wps:spPr>
                        <a:xfrm>
                          <a:off x="0" y="0"/>
                          <a:ext cx="6120765" cy="0"/>
                        </a:xfrm>
                        <a:custGeom>
                          <a:avLst/>
                          <a:gdLst/>
                          <a:ahLst/>
                          <a:cxnLst/>
                          <a:rect l="0" t="0" r="0" b="0"/>
                          <a:pathLst>
                            <a:path w="6120765">
                              <a:moveTo>
                                <a:pt x="0" y="0"/>
                              </a:moveTo>
                              <a:lnTo>
                                <a:pt x="6120765" y="0"/>
                              </a:lnTo>
                            </a:path>
                          </a:pathLst>
                        </a:custGeom>
                        <a:ln w="19050" cap="flat">
                          <a:miter lim="127000"/>
                        </a:ln>
                      </wps:spPr>
                      <wps:style>
                        <a:lnRef idx="1">
                          <a:srgbClr val="00608F"/>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6675" style="width:481.95pt;height:1.5pt;position:absolute;mso-position-horizontal-relative:page;mso-position-horizontal:absolute;margin-left:36.4pt;mso-position-vertical-relative:page;margin-top:772.119pt;" coordsize="61207,190">
              <v:shape id="Shape 16676" style="position:absolute;width:61207;height:0;left:0;top:0;" coordsize="6120765,0" path="m0,0l6120765,0">
                <v:stroke weight="1.5pt" endcap="flat" joinstyle="miter" miterlimit="10" on="true" color="#00608f"/>
                <v:fill on="false" color="#000000" opacity="0"/>
              </v:shape>
              <w10:wrap type="square"/>
            </v:group>
          </w:pict>
        </mc:Fallback>
      </mc:AlternateContent>
    </w:r>
    <w:r>
      <w:rPr>
        <w:b/>
        <w:color w:val="00608F"/>
        <w:sz w:val="40"/>
      </w:rPr>
      <w:tab/>
    </w:r>
    <w:r>
      <w:fldChar w:fldCharType="begin"/>
    </w:r>
    <w:r>
      <w:instrText xml:space="preserve"> PAGE   \* MERGEFORMAT </w:instrText>
    </w:r>
    <w:r>
      <w:fldChar w:fldCharType="separate"/>
    </w:r>
    <w:r>
      <w:rPr>
        <w:b/>
        <w:color w:val="00608F"/>
        <w:sz w:val="40"/>
      </w:rPr>
      <w:t>1</w:t>
    </w:r>
    <w:r>
      <w:rPr>
        <w:b/>
        <w:color w:val="00608F"/>
        <w:sz w:val="40"/>
      </w:rPr>
      <w:fldChar w:fldCharType="end"/>
    </w:r>
    <w:r>
      <w:rPr>
        <w:b/>
        <w:color w:val="00608F"/>
        <w:sz w:val="40"/>
      </w:rPr>
      <w:t xml:space="preserve"> </w:t>
    </w:r>
  </w:p>
  <w:p w14:paraId="56AD610D" w14:textId="77777777" w:rsidR="001A479A" w:rsidRDefault="00000000">
    <w:pPr>
      <w:spacing w:after="0"/>
      <w:ind w:right="442"/>
      <w:jc w:val="center"/>
    </w:pPr>
    <w:r>
      <w:rPr>
        <w:sz w:val="16"/>
      </w:rPr>
      <w:t xml:space="preserve">Coordenadoria de Gestão do Conhecimento Institucional – CGCI </w:t>
    </w:r>
  </w:p>
  <w:p w14:paraId="5471061D" w14:textId="77777777" w:rsidR="001A479A" w:rsidRDefault="00000000">
    <w:pPr>
      <w:spacing w:after="459"/>
      <w:ind w:left="1361"/>
    </w:pPr>
    <w:r>
      <w:rPr>
        <w:sz w:val="16"/>
      </w:rPr>
      <w:t xml:space="preserve">Supervisão de Legislação e Jurisprudência - SLJ Telefone: (61) 3314-2226/2259 e-mail: jurisprudencia@tc.df.gov.br </w:t>
    </w:r>
  </w:p>
  <w:p w14:paraId="0F0470F0" w14:textId="77777777" w:rsidR="001A479A" w:rsidRDefault="00000000">
    <w:pPr>
      <w:spacing w:after="0"/>
      <w:ind w:left="-94"/>
    </w:pPr>
    <w:r>
      <w:rPr>
        <w:sz w:val="16"/>
      </w:rPr>
      <w:t>Documento assinado digitalmente. Para verificar as assinaturas, acesse www.tc.df.gov.br/autenticidade e informe o e-DOC DEADA2C9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1FD49" w14:textId="77777777" w:rsidR="001A479A" w:rsidRDefault="00000000">
    <w:pPr>
      <w:tabs>
        <w:tab w:val="center" w:pos="10073"/>
      </w:tabs>
      <w:spacing w:after="0"/>
    </w:pPr>
    <w:r>
      <w:rPr>
        <w:noProof/>
      </w:rPr>
      <mc:AlternateContent>
        <mc:Choice Requires="wpg">
          <w:drawing>
            <wp:anchor distT="0" distB="0" distL="114300" distR="114300" simplePos="0" relativeHeight="251663360" behindDoc="0" locked="0" layoutInCell="1" allowOverlap="1" wp14:anchorId="7ACCAD7A" wp14:editId="19282E1D">
              <wp:simplePos x="0" y="0"/>
              <wp:positionH relativeFrom="page">
                <wp:posOffset>462280</wp:posOffset>
              </wp:positionH>
              <wp:positionV relativeFrom="page">
                <wp:posOffset>9805911</wp:posOffset>
              </wp:positionV>
              <wp:extent cx="6120765" cy="19050"/>
              <wp:effectExtent l="0" t="0" r="0" b="0"/>
              <wp:wrapSquare wrapText="bothSides"/>
              <wp:docPr id="16604" name="Group 16604"/>
              <wp:cNvGraphicFramePr/>
              <a:graphic xmlns:a="http://schemas.openxmlformats.org/drawingml/2006/main">
                <a:graphicData uri="http://schemas.microsoft.com/office/word/2010/wordprocessingGroup">
                  <wpg:wgp>
                    <wpg:cNvGrpSpPr/>
                    <wpg:grpSpPr>
                      <a:xfrm>
                        <a:off x="0" y="0"/>
                        <a:ext cx="6120765" cy="19050"/>
                        <a:chOff x="0" y="0"/>
                        <a:chExt cx="6120765" cy="19050"/>
                      </a:xfrm>
                    </wpg:grpSpPr>
                    <wps:wsp>
                      <wps:cNvPr id="16605" name="Shape 16605"/>
                      <wps:cNvSpPr/>
                      <wps:spPr>
                        <a:xfrm>
                          <a:off x="0" y="0"/>
                          <a:ext cx="6120765" cy="0"/>
                        </a:xfrm>
                        <a:custGeom>
                          <a:avLst/>
                          <a:gdLst/>
                          <a:ahLst/>
                          <a:cxnLst/>
                          <a:rect l="0" t="0" r="0" b="0"/>
                          <a:pathLst>
                            <a:path w="6120765">
                              <a:moveTo>
                                <a:pt x="0" y="0"/>
                              </a:moveTo>
                              <a:lnTo>
                                <a:pt x="6120765" y="0"/>
                              </a:lnTo>
                            </a:path>
                          </a:pathLst>
                        </a:custGeom>
                        <a:ln w="19050" cap="flat">
                          <a:miter lim="127000"/>
                        </a:ln>
                      </wps:spPr>
                      <wps:style>
                        <a:lnRef idx="1">
                          <a:srgbClr val="00608F"/>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6604" style="width:481.95pt;height:1.5pt;position:absolute;mso-position-horizontal-relative:page;mso-position-horizontal:absolute;margin-left:36.4pt;mso-position-vertical-relative:page;margin-top:772.119pt;" coordsize="61207,190">
              <v:shape id="Shape 16605" style="position:absolute;width:61207;height:0;left:0;top:0;" coordsize="6120765,0" path="m0,0l6120765,0">
                <v:stroke weight="1.5pt" endcap="flat" joinstyle="miter" miterlimit="10" on="true" color="#00608f"/>
                <v:fill on="false" color="#000000" opacity="0"/>
              </v:shape>
              <w10:wrap type="square"/>
            </v:group>
          </w:pict>
        </mc:Fallback>
      </mc:AlternateContent>
    </w:r>
    <w:r>
      <w:rPr>
        <w:b/>
        <w:color w:val="00608F"/>
        <w:sz w:val="40"/>
      </w:rPr>
      <w:tab/>
    </w:r>
    <w:r>
      <w:fldChar w:fldCharType="begin"/>
    </w:r>
    <w:r>
      <w:instrText xml:space="preserve"> PAGE   \* MERGEFORMAT </w:instrText>
    </w:r>
    <w:r>
      <w:fldChar w:fldCharType="separate"/>
    </w:r>
    <w:r>
      <w:rPr>
        <w:b/>
        <w:color w:val="00608F"/>
        <w:sz w:val="40"/>
      </w:rPr>
      <w:t>1</w:t>
    </w:r>
    <w:r>
      <w:rPr>
        <w:b/>
        <w:color w:val="00608F"/>
        <w:sz w:val="40"/>
      </w:rPr>
      <w:fldChar w:fldCharType="end"/>
    </w:r>
    <w:r>
      <w:rPr>
        <w:b/>
        <w:color w:val="00608F"/>
        <w:sz w:val="40"/>
      </w:rPr>
      <w:t xml:space="preserve"> </w:t>
    </w:r>
  </w:p>
  <w:p w14:paraId="3AAEC21F" w14:textId="77777777" w:rsidR="001A479A" w:rsidRDefault="00000000">
    <w:pPr>
      <w:spacing w:after="0"/>
      <w:ind w:right="442"/>
      <w:jc w:val="center"/>
    </w:pPr>
    <w:r>
      <w:rPr>
        <w:sz w:val="16"/>
      </w:rPr>
      <w:t xml:space="preserve">Coordenadoria de Gestão do Conhecimento Institucional – CGCI </w:t>
    </w:r>
  </w:p>
  <w:p w14:paraId="5D59E89D" w14:textId="77777777" w:rsidR="001A479A" w:rsidRDefault="00000000">
    <w:pPr>
      <w:spacing w:after="459"/>
      <w:ind w:left="1361"/>
    </w:pPr>
    <w:r>
      <w:rPr>
        <w:sz w:val="16"/>
      </w:rPr>
      <w:t xml:space="preserve">Supervisão de Legislação e Jurisprudência - SLJ Telefone: (61) 3314-2226/2259 e-mail: jurisprudencia@tc.df.gov.br </w:t>
    </w:r>
  </w:p>
  <w:p w14:paraId="5D3DC891" w14:textId="77777777" w:rsidR="001A479A" w:rsidRDefault="00000000">
    <w:pPr>
      <w:spacing w:after="0"/>
      <w:ind w:left="-94"/>
    </w:pPr>
    <w:r>
      <w:rPr>
        <w:sz w:val="16"/>
      </w:rPr>
      <w:t>Documento assinado digitalmente. Para verificar as assinaturas, acesse www.tc.df.gov.br/autenticidade e informe o e-DOC DEADA2C9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4D3DD6" w14:textId="77777777" w:rsidR="00190069" w:rsidRDefault="00190069">
      <w:pPr>
        <w:spacing w:after="0" w:line="240" w:lineRule="auto"/>
      </w:pPr>
      <w:r>
        <w:separator/>
      </w:r>
    </w:p>
  </w:footnote>
  <w:footnote w:type="continuationSeparator" w:id="0">
    <w:p w14:paraId="16037334" w14:textId="77777777" w:rsidR="00190069" w:rsidRDefault="001900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7FD8D" w14:textId="77777777" w:rsidR="001A479A" w:rsidRDefault="00000000">
    <w:pPr>
      <w:spacing w:after="340" w:line="261" w:lineRule="auto"/>
      <w:ind w:left="8788" w:right="-597" w:firstLine="1037"/>
    </w:pPr>
    <w:r>
      <w:rPr>
        <w:color w:val="0000FF"/>
        <w:sz w:val="16"/>
      </w:rPr>
      <w:t>e-DOC DEADA2C9 Proc 00600-00015231/2025-14-e</w:t>
    </w:r>
  </w:p>
  <w:p w14:paraId="2F26C784" w14:textId="77777777" w:rsidR="001A479A" w:rsidRDefault="00000000">
    <w:pPr>
      <w:spacing w:after="0" w:line="328" w:lineRule="auto"/>
      <w:ind w:right="3575"/>
      <w:jc w:val="both"/>
    </w:pPr>
    <w:r>
      <w:rPr>
        <w:noProof/>
      </w:rPr>
      <mc:AlternateContent>
        <mc:Choice Requires="wpg">
          <w:drawing>
            <wp:anchor distT="0" distB="0" distL="114300" distR="114300" simplePos="0" relativeHeight="251658240" behindDoc="1" locked="0" layoutInCell="1" allowOverlap="1" wp14:anchorId="78090DBE" wp14:editId="0E612AA9">
              <wp:simplePos x="0" y="0"/>
              <wp:positionH relativeFrom="page">
                <wp:posOffset>461010</wp:posOffset>
              </wp:positionH>
              <wp:positionV relativeFrom="page">
                <wp:posOffset>770890</wp:posOffset>
              </wp:positionV>
              <wp:extent cx="6697981" cy="673862"/>
              <wp:effectExtent l="0" t="0" r="0" b="0"/>
              <wp:wrapNone/>
              <wp:docPr id="16727" name="Group 16727"/>
              <wp:cNvGraphicFramePr/>
              <a:graphic xmlns:a="http://schemas.openxmlformats.org/drawingml/2006/main">
                <a:graphicData uri="http://schemas.microsoft.com/office/word/2010/wordprocessingGroup">
                  <wpg:wgp>
                    <wpg:cNvGrpSpPr/>
                    <wpg:grpSpPr>
                      <a:xfrm>
                        <a:off x="0" y="0"/>
                        <a:ext cx="6697981" cy="673862"/>
                        <a:chOff x="0" y="0"/>
                        <a:chExt cx="6697981" cy="673862"/>
                      </a:xfrm>
                    </wpg:grpSpPr>
                    <pic:pic xmlns:pic="http://schemas.openxmlformats.org/drawingml/2006/picture">
                      <pic:nvPicPr>
                        <pic:cNvPr id="16728" name="Picture 16728"/>
                        <pic:cNvPicPr/>
                      </pic:nvPicPr>
                      <pic:blipFill>
                        <a:blip r:embed="rId1"/>
                        <a:stretch>
                          <a:fillRect/>
                        </a:stretch>
                      </pic:blipFill>
                      <pic:spPr>
                        <a:xfrm>
                          <a:off x="5860415" y="0"/>
                          <a:ext cx="837565" cy="321310"/>
                        </a:xfrm>
                        <a:prstGeom prst="rect">
                          <a:avLst/>
                        </a:prstGeom>
                      </pic:spPr>
                    </pic:pic>
                    <pic:pic xmlns:pic="http://schemas.openxmlformats.org/drawingml/2006/picture">
                      <pic:nvPicPr>
                        <pic:cNvPr id="16731" name="Picture 16731"/>
                        <pic:cNvPicPr/>
                      </pic:nvPicPr>
                      <pic:blipFill>
                        <a:blip r:embed="rId2"/>
                        <a:stretch>
                          <a:fillRect/>
                        </a:stretch>
                      </pic:blipFill>
                      <pic:spPr>
                        <a:xfrm>
                          <a:off x="4333240" y="54610"/>
                          <a:ext cx="1104900" cy="204470"/>
                        </a:xfrm>
                        <a:prstGeom prst="rect">
                          <a:avLst/>
                        </a:prstGeom>
                      </pic:spPr>
                    </pic:pic>
                    <wps:wsp>
                      <wps:cNvPr id="16730" name="Rectangle 16730"/>
                      <wps:cNvSpPr/>
                      <wps:spPr>
                        <a:xfrm>
                          <a:off x="5156200" y="120142"/>
                          <a:ext cx="64456" cy="425653"/>
                        </a:xfrm>
                        <a:prstGeom prst="rect">
                          <a:avLst/>
                        </a:prstGeom>
                        <a:ln>
                          <a:noFill/>
                        </a:ln>
                      </wps:spPr>
                      <wps:txbx>
                        <w:txbxContent>
                          <w:p w14:paraId="2FF39F2D" w14:textId="77777777" w:rsidR="001A479A" w:rsidRDefault="00000000">
                            <w:r>
                              <w:rPr>
                                <w:b/>
                                <w:color w:val="00608F"/>
                                <w:sz w:val="36"/>
                              </w:rPr>
                              <w:t xml:space="preserve"> </w:t>
                            </w:r>
                          </w:p>
                        </w:txbxContent>
                      </wps:txbx>
                      <wps:bodyPr horzOverflow="overflow" vert="horz" lIns="0" tIns="0" rIns="0" bIns="0" rtlCol="0">
                        <a:noAutofit/>
                      </wps:bodyPr>
                    </wps:wsp>
                    <wps:wsp>
                      <wps:cNvPr id="16729" name="Shape 16729"/>
                      <wps:cNvSpPr/>
                      <wps:spPr>
                        <a:xfrm>
                          <a:off x="0" y="673862"/>
                          <a:ext cx="6677025" cy="0"/>
                        </a:xfrm>
                        <a:custGeom>
                          <a:avLst/>
                          <a:gdLst/>
                          <a:ahLst/>
                          <a:cxnLst/>
                          <a:rect l="0" t="0" r="0" b="0"/>
                          <a:pathLst>
                            <a:path w="6677025">
                              <a:moveTo>
                                <a:pt x="0" y="0"/>
                              </a:moveTo>
                              <a:lnTo>
                                <a:pt x="6677025" y="0"/>
                              </a:lnTo>
                            </a:path>
                          </a:pathLst>
                        </a:custGeom>
                        <a:ln w="19050" cap="flat">
                          <a:miter lim="127000"/>
                        </a:ln>
                      </wps:spPr>
                      <wps:style>
                        <a:lnRef idx="1">
                          <a:srgbClr val="00608F"/>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6727" style="width:527.4pt;height:53.06pt;position:absolute;z-index:-2147483643;mso-position-horizontal-relative:page;mso-position-horizontal:absolute;margin-left:36.3pt;mso-position-vertical-relative:page;margin-top:60.7pt;" coordsize="66979,6738">
              <v:shape id="Picture 16728" style="position:absolute;width:8375;height:3213;left:58604;top:0;" filled="f">
                <v:imagedata r:id="rId7"/>
              </v:shape>
              <v:shape id="Picture 16731" style="position:absolute;width:11049;height:2044;left:43332;top:546;" filled="f">
                <v:imagedata r:id="rId8"/>
              </v:shape>
              <v:rect id="Rectangle 16730" style="position:absolute;width:644;height:4256;left:51562;top:1201;" filled="f" stroked="f">
                <v:textbox inset="0,0,0,0">
                  <w:txbxContent>
                    <w:p>
                      <w:pPr>
                        <w:spacing w:before="0" w:after="160" w:line="259" w:lineRule="auto"/>
                      </w:pPr>
                      <w:r>
                        <w:rPr>
                          <w:rFonts w:cs="Calibri" w:hAnsi="Calibri" w:eastAsia="Calibri" w:ascii="Calibri"/>
                          <w:b w:val="1"/>
                          <w:color w:val="00608f"/>
                          <w:sz w:val="36"/>
                        </w:rPr>
                        <w:t xml:space="preserve"> </w:t>
                      </w:r>
                    </w:p>
                  </w:txbxContent>
                </v:textbox>
              </v:rect>
              <v:shape id="Shape 16729" style="position:absolute;width:66770;height:0;left:0;top:6738;" coordsize="6677025,0" path="m0,0l6677025,0">
                <v:stroke weight="1.5pt" endcap="flat" joinstyle="miter" miterlimit="10" on="true" color="#00608f"/>
                <v:fill on="false" color="#000000" opacity="0"/>
              </v:shape>
            </v:group>
          </w:pict>
        </mc:Fallback>
      </mc:AlternateContent>
    </w:r>
    <w:r>
      <w:rPr>
        <w:b/>
        <w:color w:val="00608F"/>
        <w:sz w:val="40"/>
      </w:rPr>
      <w:t>Boletim de Jurisprudência</w:t>
    </w:r>
    <w:r>
      <w:rPr>
        <w:color w:val="00608F"/>
        <w:sz w:val="40"/>
      </w:rPr>
      <w:t xml:space="preserve"> </w:t>
    </w:r>
    <w:r>
      <w:rPr>
        <w:b/>
        <w:color w:val="00608F"/>
        <w:sz w:val="36"/>
      </w:rPr>
      <w:t xml:space="preserve">Número 5/2025 </w:t>
    </w:r>
  </w:p>
  <w:p w14:paraId="7DC0DCC1" w14:textId="77777777" w:rsidR="001A479A" w:rsidRDefault="00000000">
    <w:pPr>
      <w:spacing w:after="0"/>
      <w:ind w:left="389"/>
    </w:pPr>
    <w:r>
      <w:rPr>
        <w:sz w:val="24"/>
      </w:rPr>
      <w:t xml:space="preserve"> </w:t>
    </w:r>
  </w:p>
  <w:p w14:paraId="6AE1D517" w14:textId="77777777" w:rsidR="001A479A" w:rsidRDefault="00000000">
    <w:pPr>
      <w:spacing w:after="0"/>
      <w:ind w:left="389"/>
    </w:pPr>
    <w:r>
      <w:rPr>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6683F" w14:textId="77777777" w:rsidR="001A479A" w:rsidRDefault="00000000">
    <w:pPr>
      <w:spacing w:after="340" w:line="261" w:lineRule="auto"/>
      <w:ind w:left="8788" w:right="-597" w:firstLine="1037"/>
    </w:pPr>
    <w:r>
      <w:rPr>
        <w:color w:val="0000FF"/>
        <w:sz w:val="16"/>
      </w:rPr>
      <w:t>e-DOC DEADA2C9 Proc 00600-00015231/2025-14-e</w:t>
    </w:r>
  </w:p>
  <w:p w14:paraId="668A2468" w14:textId="77777777" w:rsidR="001A479A" w:rsidRDefault="00000000">
    <w:pPr>
      <w:spacing w:after="0" w:line="328" w:lineRule="auto"/>
      <w:ind w:right="3575"/>
      <w:jc w:val="both"/>
    </w:pPr>
    <w:r>
      <w:rPr>
        <w:noProof/>
      </w:rPr>
      <mc:AlternateContent>
        <mc:Choice Requires="wpg">
          <w:drawing>
            <wp:anchor distT="0" distB="0" distL="114300" distR="114300" simplePos="0" relativeHeight="251659264" behindDoc="1" locked="0" layoutInCell="1" allowOverlap="1" wp14:anchorId="40AE59F4" wp14:editId="7BBDC732">
              <wp:simplePos x="0" y="0"/>
              <wp:positionH relativeFrom="page">
                <wp:posOffset>461010</wp:posOffset>
              </wp:positionH>
              <wp:positionV relativeFrom="page">
                <wp:posOffset>770890</wp:posOffset>
              </wp:positionV>
              <wp:extent cx="6697981" cy="673862"/>
              <wp:effectExtent l="0" t="0" r="0" b="0"/>
              <wp:wrapNone/>
              <wp:docPr id="16656" name="Group 16656"/>
              <wp:cNvGraphicFramePr/>
              <a:graphic xmlns:a="http://schemas.openxmlformats.org/drawingml/2006/main">
                <a:graphicData uri="http://schemas.microsoft.com/office/word/2010/wordprocessingGroup">
                  <wpg:wgp>
                    <wpg:cNvGrpSpPr/>
                    <wpg:grpSpPr>
                      <a:xfrm>
                        <a:off x="0" y="0"/>
                        <a:ext cx="6697981" cy="673862"/>
                        <a:chOff x="0" y="0"/>
                        <a:chExt cx="6697981" cy="673862"/>
                      </a:xfrm>
                    </wpg:grpSpPr>
                    <pic:pic xmlns:pic="http://schemas.openxmlformats.org/drawingml/2006/picture">
                      <pic:nvPicPr>
                        <pic:cNvPr id="16657" name="Picture 16657"/>
                        <pic:cNvPicPr/>
                      </pic:nvPicPr>
                      <pic:blipFill>
                        <a:blip r:embed="rId1"/>
                        <a:stretch>
                          <a:fillRect/>
                        </a:stretch>
                      </pic:blipFill>
                      <pic:spPr>
                        <a:xfrm>
                          <a:off x="5860415" y="0"/>
                          <a:ext cx="837565" cy="321310"/>
                        </a:xfrm>
                        <a:prstGeom prst="rect">
                          <a:avLst/>
                        </a:prstGeom>
                      </pic:spPr>
                    </pic:pic>
                    <pic:pic xmlns:pic="http://schemas.openxmlformats.org/drawingml/2006/picture">
                      <pic:nvPicPr>
                        <pic:cNvPr id="16660" name="Picture 16660"/>
                        <pic:cNvPicPr/>
                      </pic:nvPicPr>
                      <pic:blipFill>
                        <a:blip r:embed="rId2"/>
                        <a:stretch>
                          <a:fillRect/>
                        </a:stretch>
                      </pic:blipFill>
                      <pic:spPr>
                        <a:xfrm>
                          <a:off x="4333240" y="54610"/>
                          <a:ext cx="1104900" cy="204470"/>
                        </a:xfrm>
                        <a:prstGeom prst="rect">
                          <a:avLst/>
                        </a:prstGeom>
                      </pic:spPr>
                    </pic:pic>
                    <wps:wsp>
                      <wps:cNvPr id="16659" name="Rectangle 16659"/>
                      <wps:cNvSpPr/>
                      <wps:spPr>
                        <a:xfrm>
                          <a:off x="5156200" y="120142"/>
                          <a:ext cx="64456" cy="425653"/>
                        </a:xfrm>
                        <a:prstGeom prst="rect">
                          <a:avLst/>
                        </a:prstGeom>
                        <a:ln>
                          <a:noFill/>
                        </a:ln>
                      </wps:spPr>
                      <wps:txbx>
                        <w:txbxContent>
                          <w:p w14:paraId="78F225B5" w14:textId="77777777" w:rsidR="001A479A" w:rsidRDefault="00000000">
                            <w:r>
                              <w:rPr>
                                <w:b/>
                                <w:color w:val="00608F"/>
                                <w:sz w:val="36"/>
                              </w:rPr>
                              <w:t xml:space="preserve"> </w:t>
                            </w:r>
                          </w:p>
                        </w:txbxContent>
                      </wps:txbx>
                      <wps:bodyPr horzOverflow="overflow" vert="horz" lIns="0" tIns="0" rIns="0" bIns="0" rtlCol="0">
                        <a:noAutofit/>
                      </wps:bodyPr>
                    </wps:wsp>
                    <wps:wsp>
                      <wps:cNvPr id="16658" name="Shape 16658"/>
                      <wps:cNvSpPr/>
                      <wps:spPr>
                        <a:xfrm>
                          <a:off x="0" y="673862"/>
                          <a:ext cx="6677025" cy="0"/>
                        </a:xfrm>
                        <a:custGeom>
                          <a:avLst/>
                          <a:gdLst/>
                          <a:ahLst/>
                          <a:cxnLst/>
                          <a:rect l="0" t="0" r="0" b="0"/>
                          <a:pathLst>
                            <a:path w="6677025">
                              <a:moveTo>
                                <a:pt x="0" y="0"/>
                              </a:moveTo>
                              <a:lnTo>
                                <a:pt x="6677025" y="0"/>
                              </a:lnTo>
                            </a:path>
                          </a:pathLst>
                        </a:custGeom>
                        <a:ln w="19050" cap="flat">
                          <a:miter lim="127000"/>
                        </a:ln>
                      </wps:spPr>
                      <wps:style>
                        <a:lnRef idx="1">
                          <a:srgbClr val="00608F"/>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6656" style="width:527.4pt;height:53.06pt;position:absolute;z-index:-2147483643;mso-position-horizontal-relative:page;mso-position-horizontal:absolute;margin-left:36.3pt;mso-position-vertical-relative:page;margin-top:60.7pt;" coordsize="66979,6738">
              <v:shape id="Picture 16657" style="position:absolute;width:8375;height:3213;left:58604;top:0;" filled="f">
                <v:imagedata r:id="rId7"/>
              </v:shape>
              <v:shape id="Picture 16660" style="position:absolute;width:11049;height:2044;left:43332;top:546;" filled="f">
                <v:imagedata r:id="rId8"/>
              </v:shape>
              <v:rect id="Rectangle 16659" style="position:absolute;width:644;height:4256;left:51562;top:1201;" filled="f" stroked="f">
                <v:textbox inset="0,0,0,0">
                  <w:txbxContent>
                    <w:p>
                      <w:pPr>
                        <w:spacing w:before="0" w:after="160" w:line="259" w:lineRule="auto"/>
                      </w:pPr>
                      <w:r>
                        <w:rPr>
                          <w:rFonts w:cs="Calibri" w:hAnsi="Calibri" w:eastAsia="Calibri" w:ascii="Calibri"/>
                          <w:b w:val="1"/>
                          <w:color w:val="00608f"/>
                          <w:sz w:val="36"/>
                        </w:rPr>
                        <w:t xml:space="preserve"> </w:t>
                      </w:r>
                    </w:p>
                  </w:txbxContent>
                </v:textbox>
              </v:rect>
              <v:shape id="Shape 16658" style="position:absolute;width:66770;height:0;left:0;top:6738;" coordsize="6677025,0" path="m0,0l6677025,0">
                <v:stroke weight="1.5pt" endcap="flat" joinstyle="miter" miterlimit="10" on="true" color="#00608f"/>
                <v:fill on="false" color="#000000" opacity="0"/>
              </v:shape>
            </v:group>
          </w:pict>
        </mc:Fallback>
      </mc:AlternateContent>
    </w:r>
    <w:r>
      <w:rPr>
        <w:b/>
        <w:color w:val="00608F"/>
        <w:sz w:val="40"/>
      </w:rPr>
      <w:t>Boletim de Jurisprudência</w:t>
    </w:r>
    <w:r>
      <w:rPr>
        <w:color w:val="00608F"/>
        <w:sz w:val="40"/>
      </w:rPr>
      <w:t xml:space="preserve"> </w:t>
    </w:r>
    <w:r>
      <w:rPr>
        <w:b/>
        <w:color w:val="00608F"/>
        <w:sz w:val="36"/>
      </w:rPr>
      <w:t xml:space="preserve">Número 5/2025 </w:t>
    </w:r>
  </w:p>
  <w:p w14:paraId="5CA39CCB" w14:textId="77777777" w:rsidR="001A479A" w:rsidRDefault="00000000">
    <w:pPr>
      <w:spacing w:after="0"/>
      <w:ind w:left="389"/>
    </w:pPr>
    <w:r>
      <w:rPr>
        <w:sz w:val="24"/>
      </w:rPr>
      <w:t xml:space="preserve"> </w:t>
    </w:r>
  </w:p>
  <w:p w14:paraId="0BC310FC" w14:textId="77777777" w:rsidR="001A479A" w:rsidRDefault="00000000">
    <w:pPr>
      <w:spacing w:after="0"/>
      <w:ind w:left="389"/>
    </w:pPr>
    <w:r>
      <w:rPr>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48216" w14:textId="77777777" w:rsidR="001A479A" w:rsidRDefault="00000000">
    <w:pPr>
      <w:spacing w:after="340" w:line="261" w:lineRule="auto"/>
      <w:ind w:left="8788" w:right="-597" w:firstLine="1037"/>
    </w:pPr>
    <w:r>
      <w:rPr>
        <w:color w:val="0000FF"/>
        <w:sz w:val="16"/>
      </w:rPr>
      <w:t>e-DOC DEADA2C9 Proc 00600-00015231/2025-14-e</w:t>
    </w:r>
  </w:p>
  <w:p w14:paraId="548F5A49" w14:textId="77777777" w:rsidR="001A479A" w:rsidRDefault="00000000">
    <w:pPr>
      <w:spacing w:after="0" w:line="328" w:lineRule="auto"/>
      <w:ind w:right="3575"/>
      <w:jc w:val="both"/>
    </w:pPr>
    <w:r>
      <w:rPr>
        <w:noProof/>
      </w:rPr>
      <mc:AlternateContent>
        <mc:Choice Requires="wpg">
          <w:drawing>
            <wp:anchor distT="0" distB="0" distL="114300" distR="114300" simplePos="0" relativeHeight="251660288" behindDoc="1" locked="0" layoutInCell="1" allowOverlap="1" wp14:anchorId="49AFC971" wp14:editId="77CFD288">
              <wp:simplePos x="0" y="0"/>
              <wp:positionH relativeFrom="page">
                <wp:posOffset>461010</wp:posOffset>
              </wp:positionH>
              <wp:positionV relativeFrom="page">
                <wp:posOffset>770890</wp:posOffset>
              </wp:positionV>
              <wp:extent cx="6697981" cy="673862"/>
              <wp:effectExtent l="0" t="0" r="0" b="0"/>
              <wp:wrapNone/>
              <wp:docPr id="16585" name="Group 16585"/>
              <wp:cNvGraphicFramePr/>
              <a:graphic xmlns:a="http://schemas.openxmlformats.org/drawingml/2006/main">
                <a:graphicData uri="http://schemas.microsoft.com/office/word/2010/wordprocessingGroup">
                  <wpg:wgp>
                    <wpg:cNvGrpSpPr/>
                    <wpg:grpSpPr>
                      <a:xfrm>
                        <a:off x="0" y="0"/>
                        <a:ext cx="6697981" cy="673862"/>
                        <a:chOff x="0" y="0"/>
                        <a:chExt cx="6697981" cy="673862"/>
                      </a:xfrm>
                    </wpg:grpSpPr>
                    <pic:pic xmlns:pic="http://schemas.openxmlformats.org/drawingml/2006/picture">
                      <pic:nvPicPr>
                        <pic:cNvPr id="16586" name="Picture 16586"/>
                        <pic:cNvPicPr/>
                      </pic:nvPicPr>
                      <pic:blipFill>
                        <a:blip r:embed="rId1"/>
                        <a:stretch>
                          <a:fillRect/>
                        </a:stretch>
                      </pic:blipFill>
                      <pic:spPr>
                        <a:xfrm>
                          <a:off x="5860415" y="0"/>
                          <a:ext cx="837565" cy="321310"/>
                        </a:xfrm>
                        <a:prstGeom prst="rect">
                          <a:avLst/>
                        </a:prstGeom>
                      </pic:spPr>
                    </pic:pic>
                    <pic:pic xmlns:pic="http://schemas.openxmlformats.org/drawingml/2006/picture">
                      <pic:nvPicPr>
                        <pic:cNvPr id="16589" name="Picture 16589"/>
                        <pic:cNvPicPr/>
                      </pic:nvPicPr>
                      <pic:blipFill>
                        <a:blip r:embed="rId2"/>
                        <a:stretch>
                          <a:fillRect/>
                        </a:stretch>
                      </pic:blipFill>
                      <pic:spPr>
                        <a:xfrm>
                          <a:off x="4333240" y="54610"/>
                          <a:ext cx="1104900" cy="204470"/>
                        </a:xfrm>
                        <a:prstGeom prst="rect">
                          <a:avLst/>
                        </a:prstGeom>
                      </pic:spPr>
                    </pic:pic>
                    <wps:wsp>
                      <wps:cNvPr id="16588" name="Rectangle 16588"/>
                      <wps:cNvSpPr/>
                      <wps:spPr>
                        <a:xfrm>
                          <a:off x="5156200" y="120142"/>
                          <a:ext cx="64456" cy="425653"/>
                        </a:xfrm>
                        <a:prstGeom prst="rect">
                          <a:avLst/>
                        </a:prstGeom>
                        <a:ln>
                          <a:noFill/>
                        </a:ln>
                      </wps:spPr>
                      <wps:txbx>
                        <w:txbxContent>
                          <w:p w14:paraId="42F182C9" w14:textId="77777777" w:rsidR="001A479A" w:rsidRDefault="00000000">
                            <w:r>
                              <w:rPr>
                                <w:b/>
                                <w:color w:val="00608F"/>
                                <w:sz w:val="36"/>
                              </w:rPr>
                              <w:t xml:space="preserve"> </w:t>
                            </w:r>
                          </w:p>
                        </w:txbxContent>
                      </wps:txbx>
                      <wps:bodyPr horzOverflow="overflow" vert="horz" lIns="0" tIns="0" rIns="0" bIns="0" rtlCol="0">
                        <a:noAutofit/>
                      </wps:bodyPr>
                    </wps:wsp>
                    <wps:wsp>
                      <wps:cNvPr id="16587" name="Shape 16587"/>
                      <wps:cNvSpPr/>
                      <wps:spPr>
                        <a:xfrm>
                          <a:off x="0" y="673862"/>
                          <a:ext cx="6677025" cy="0"/>
                        </a:xfrm>
                        <a:custGeom>
                          <a:avLst/>
                          <a:gdLst/>
                          <a:ahLst/>
                          <a:cxnLst/>
                          <a:rect l="0" t="0" r="0" b="0"/>
                          <a:pathLst>
                            <a:path w="6677025">
                              <a:moveTo>
                                <a:pt x="0" y="0"/>
                              </a:moveTo>
                              <a:lnTo>
                                <a:pt x="6677025" y="0"/>
                              </a:lnTo>
                            </a:path>
                          </a:pathLst>
                        </a:custGeom>
                        <a:ln w="19050" cap="flat">
                          <a:miter lim="127000"/>
                        </a:ln>
                      </wps:spPr>
                      <wps:style>
                        <a:lnRef idx="1">
                          <a:srgbClr val="00608F"/>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6585" style="width:527.4pt;height:53.06pt;position:absolute;z-index:-2147483643;mso-position-horizontal-relative:page;mso-position-horizontal:absolute;margin-left:36.3pt;mso-position-vertical-relative:page;margin-top:60.7pt;" coordsize="66979,6738">
              <v:shape id="Picture 16586" style="position:absolute;width:8375;height:3213;left:58604;top:0;" filled="f">
                <v:imagedata r:id="rId7"/>
              </v:shape>
              <v:shape id="Picture 16589" style="position:absolute;width:11049;height:2044;left:43332;top:546;" filled="f">
                <v:imagedata r:id="rId8"/>
              </v:shape>
              <v:rect id="Rectangle 16588" style="position:absolute;width:644;height:4256;left:51562;top:1201;" filled="f" stroked="f">
                <v:textbox inset="0,0,0,0">
                  <w:txbxContent>
                    <w:p>
                      <w:pPr>
                        <w:spacing w:before="0" w:after="160" w:line="259" w:lineRule="auto"/>
                      </w:pPr>
                      <w:r>
                        <w:rPr>
                          <w:rFonts w:cs="Calibri" w:hAnsi="Calibri" w:eastAsia="Calibri" w:ascii="Calibri"/>
                          <w:b w:val="1"/>
                          <w:color w:val="00608f"/>
                          <w:sz w:val="36"/>
                        </w:rPr>
                        <w:t xml:space="preserve"> </w:t>
                      </w:r>
                    </w:p>
                  </w:txbxContent>
                </v:textbox>
              </v:rect>
              <v:shape id="Shape 16587" style="position:absolute;width:66770;height:0;left:0;top:6738;" coordsize="6677025,0" path="m0,0l6677025,0">
                <v:stroke weight="1.5pt" endcap="flat" joinstyle="miter" miterlimit="10" on="true" color="#00608f"/>
                <v:fill on="false" color="#000000" opacity="0"/>
              </v:shape>
            </v:group>
          </w:pict>
        </mc:Fallback>
      </mc:AlternateContent>
    </w:r>
    <w:r>
      <w:rPr>
        <w:b/>
        <w:color w:val="00608F"/>
        <w:sz w:val="40"/>
      </w:rPr>
      <w:t>Boletim de Jurisprudência</w:t>
    </w:r>
    <w:r>
      <w:rPr>
        <w:color w:val="00608F"/>
        <w:sz w:val="40"/>
      </w:rPr>
      <w:t xml:space="preserve"> </w:t>
    </w:r>
    <w:r>
      <w:rPr>
        <w:b/>
        <w:color w:val="00608F"/>
        <w:sz w:val="36"/>
      </w:rPr>
      <w:t xml:space="preserve">Número 5/2025 </w:t>
    </w:r>
  </w:p>
  <w:p w14:paraId="1A8789A0" w14:textId="77777777" w:rsidR="001A479A" w:rsidRDefault="00000000">
    <w:pPr>
      <w:spacing w:after="0"/>
      <w:ind w:left="389"/>
    </w:pPr>
    <w:r>
      <w:rPr>
        <w:sz w:val="24"/>
      </w:rPr>
      <w:t xml:space="preserve"> </w:t>
    </w:r>
  </w:p>
  <w:p w14:paraId="5CB77034" w14:textId="77777777" w:rsidR="001A479A" w:rsidRDefault="00000000">
    <w:pPr>
      <w:spacing w:after="0"/>
      <w:ind w:left="389"/>
    </w:pPr>
    <w:r>
      <w:rPr>
        <w:sz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A7E64"/>
    <w:multiLevelType w:val="hybridMultilevel"/>
    <w:tmpl w:val="45822096"/>
    <w:lvl w:ilvl="0" w:tplc="8592CAEA">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902826C">
      <w:start w:val="1"/>
      <w:numFmt w:val="decimal"/>
      <w:lvlRestart w:val="0"/>
      <w:lvlText w:val="%2."/>
      <w:lvlJc w:val="left"/>
      <w:pPr>
        <w:ind w:left="6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4F26D0E">
      <w:start w:val="1"/>
      <w:numFmt w:val="lowerRoman"/>
      <w:lvlText w:val="%3"/>
      <w:lvlJc w:val="left"/>
      <w:pPr>
        <w:ind w:left="228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1E8B174">
      <w:start w:val="1"/>
      <w:numFmt w:val="decimal"/>
      <w:lvlText w:val="%4"/>
      <w:lvlJc w:val="left"/>
      <w:pPr>
        <w:ind w:left="30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748E7B2">
      <w:start w:val="1"/>
      <w:numFmt w:val="lowerLetter"/>
      <w:lvlText w:val="%5"/>
      <w:lvlJc w:val="left"/>
      <w:pPr>
        <w:ind w:left="37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0C88526">
      <w:start w:val="1"/>
      <w:numFmt w:val="lowerRoman"/>
      <w:lvlText w:val="%6"/>
      <w:lvlJc w:val="left"/>
      <w:pPr>
        <w:ind w:left="444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8C620FBC">
      <w:start w:val="1"/>
      <w:numFmt w:val="decimal"/>
      <w:lvlText w:val="%7"/>
      <w:lvlJc w:val="left"/>
      <w:pPr>
        <w:ind w:left="516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CD473DC">
      <w:start w:val="1"/>
      <w:numFmt w:val="lowerLetter"/>
      <w:lvlText w:val="%8"/>
      <w:lvlJc w:val="left"/>
      <w:pPr>
        <w:ind w:left="588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3A683370">
      <w:start w:val="1"/>
      <w:numFmt w:val="lowerRoman"/>
      <w:lvlText w:val="%9"/>
      <w:lvlJc w:val="left"/>
      <w:pPr>
        <w:ind w:left="66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2F956BB"/>
    <w:multiLevelType w:val="hybridMultilevel"/>
    <w:tmpl w:val="0EAC1CDE"/>
    <w:lvl w:ilvl="0" w:tplc="DE5CEE8E">
      <w:start w:val="1"/>
      <w:numFmt w:val="decimal"/>
      <w:lvlText w:val="%1"/>
      <w:lvlJc w:val="left"/>
      <w:pPr>
        <w:ind w:left="1416"/>
      </w:pPr>
      <w:rPr>
        <w:rFonts w:ascii="Calibri" w:eastAsia="Calibri" w:hAnsi="Calibri" w:cs="Calibri"/>
        <w:b/>
        <w:bCs/>
        <w:i w:val="0"/>
        <w:strike w:val="0"/>
        <w:dstrike w:val="0"/>
        <w:color w:val="0D7C3F"/>
        <w:sz w:val="40"/>
        <w:szCs w:val="40"/>
        <w:u w:val="none" w:color="000000"/>
        <w:bdr w:val="none" w:sz="0" w:space="0" w:color="auto"/>
        <w:shd w:val="clear" w:color="auto" w:fill="auto"/>
        <w:vertAlign w:val="baseline"/>
      </w:rPr>
    </w:lvl>
    <w:lvl w:ilvl="1" w:tplc="3D5A3052">
      <w:start w:val="1"/>
      <w:numFmt w:val="decimal"/>
      <w:lvlText w:val="%2."/>
      <w:lvlJc w:val="left"/>
      <w:pPr>
        <w:ind w:left="6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A3A9BB0">
      <w:start w:val="1"/>
      <w:numFmt w:val="lowerRoman"/>
      <w:lvlText w:val="%3"/>
      <w:lvlJc w:val="left"/>
      <w:pPr>
        <w:ind w:left="228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A8662EC">
      <w:start w:val="1"/>
      <w:numFmt w:val="decimal"/>
      <w:lvlText w:val="%4"/>
      <w:lvlJc w:val="left"/>
      <w:pPr>
        <w:ind w:left="30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E5423A0">
      <w:start w:val="1"/>
      <w:numFmt w:val="lowerLetter"/>
      <w:lvlText w:val="%5"/>
      <w:lvlJc w:val="left"/>
      <w:pPr>
        <w:ind w:left="37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7A895C2">
      <w:start w:val="1"/>
      <w:numFmt w:val="lowerRoman"/>
      <w:lvlText w:val="%6"/>
      <w:lvlJc w:val="left"/>
      <w:pPr>
        <w:ind w:left="444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54E5096">
      <w:start w:val="1"/>
      <w:numFmt w:val="decimal"/>
      <w:lvlText w:val="%7"/>
      <w:lvlJc w:val="left"/>
      <w:pPr>
        <w:ind w:left="516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5E47878">
      <w:start w:val="1"/>
      <w:numFmt w:val="lowerLetter"/>
      <w:lvlText w:val="%8"/>
      <w:lvlJc w:val="left"/>
      <w:pPr>
        <w:ind w:left="588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38BE3EFA">
      <w:start w:val="1"/>
      <w:numFmt w:val="lowerRoman"/>
      <w:lvlText w:val="%9"/>
      <w:lvlJc w:val="left"/>
      <w:pPr>
        <w:ind w:left="66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7A23986"/>
    <w:multiLevelType w:val="hybridMultilevel"/>
    <w:tmpl w:val="2D58E150"/>
    <w:lvl w:ilvl="0" w:tplc="4F7848EA">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B75A9AB6">
      <w:start w:val="1"/>
      <w:numFmt w:val="lowerLetter"/>
      <w:lvlText w:val="%2"/>
      <w:lvlJc w:val="left"/>
      <w:pPr>
        <w:ind w:left="10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BA06D8A">
      <w:start w:val="1"/>
      <w:numFmt w:val="decimal"/>
      <w:lvlRestart w:val="0"/>
      <w:lvlText w:val="%3."/>
      <w:lvlJc w:val="left"/>
      <w:pPr>
        <w:ind w:left="14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88A4D04">
      <w:start w:val="1"/>
      <w:numFmt w:val="decimal"/>
      <w:lvlText w:val="%4"/>
      <w:lvlJc w:val="left"/>
      <w:pPr>
        <w:ind w:left="24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B32C532">
      <w:start w:val="1"/>
      <w:numFmt w:val="lowerLetter"/>
      <w:lvlText w:val="%5"/>
      <w:lvlJc w:val="left"/>
      <w:pPr>
        <w:ind w:left="32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60AD688">
      <w:start w:val="1"/>
      <w:numFmt w:val="lowerRoman"/>
      <w:lvlText w:val="%6"/>
      <w:lvlJc w:val="left"/>
      <w:pPr>
        <w:ind w:left="39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CB69A34">
      <w:start w:val="1"/>
      <w:numFmt w:val="decimal"/>
      <w:lvlText w:val="%7"/>
      <w:lvlJc w:val="left"/>
      <w:pPr>
        <w:ind w:left="465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F3AFB4E">
      <w:start w:val="1"/>
      <w:numFmt w:val="lowerLetter"/>
      <w:lvlText w:val="%8"/>
      <w:lvlJc w:val="left"/>
      <w:pPr>
        <w:ind w:left="537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B30BBCE">
      <w:start w:val="1"/>
      <w:numFmt w:val="lowerRoman"/>
      <w:lvlText w:val="%9"/>
      <w:lvlJc w:val="left"/>
      <w:pPr>
        <w:ind w:left="60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36F7629B"/>
    <w:multiLevelType w:val="hybridMultilevel"/>
    <w:tmpl w:val="394C62DA"/>
    <w:lvl w:ilvl="0" w:tplc="CF4C34D6">
      <w:start w:val="1"/>
      <w:numFmt w:val="decimal"/>
      <w:lvlText w:val="%1."/>
      <w:lvlJc w:val="left"/>
      <w:pPr>
        <w:ind w:left="6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E8C0D62">
      <w:start w:val="1"/>
      <w:numFmt w:val="lowerLetter"/>
      <w:lvlText w:val="%2"/>
      <w:lvlJc w:val="left"/>
      <w:pPr>
        <w:ind w:left="24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2B8BC00">
      <w:start w:val="1"/>
      <w:numFmt w:val="lowerRoman"/>
      <w:lvlText w:val="%3"/>
      <w:lvlJc w:val="left"/>
      <w:pPr>
        <w:ind w:left="32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93C266C">
      <w:start w:val="1"/>
      <w:numFmt w:val="decimal"/>
      <w:lvlText w:val="%4"/>
      <w:lvlJc w:val="left"/>
      <w:pPr>
        <w:ind w:left="39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A009A3A">
      <w:start w:val="1"/>
      <w:numFmt w:val="lowerLetter"/>
      <w:lvlText w:val="%5"/>
      <w:lvlJc w:val="left"/>
      <w:pPr>
        <w:ind w:left="465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5484960">
      <w:start w:val="1"/>
      <w:numFmt w:val="lowerRoman"/>
      <w:lvlText w:val="%6"/>
      <w:lvlJc w:val="left"/>
      <w:pPr>
        <w:ind w:left="537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66C2054">
      <w:start w:val="1"/>
      <w:numFmt w:val="decimal"/>
      <w:lvlText w:val="%7"/>
      <w:lvlJc w:val="left"/>
      <w:pPr>
        <w:ind w:left="60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EB862E0">
      <w:start w:val="1"/>
      <w:numFmt w:val="lowerLetter"/>
      <w:lvlText w:val="%8"/>
      <w:lvlJc w:val="left"/>
      <w:pPr>
        <w:ind w:left="68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250AC44">
      <w:start w:val="1"/>
      <w:numFmt w:val="lowerRoman"/>
      <w:lvlText w:val="%9"/>
      <w:lvlJc w:val="left"/>
      <w:pPr>
        <w:ind w:left="75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417C0255"/>
    <w:multiLevelType w:val="hybridMultilevel"/>
    <w:tmpl w:val="CB98131C"/>
    <w:lvl w:ilvl="0" w:tplc="7BDADF28">
      <w:start w:val="1"/>
      <w:numFmt w:val="decimal"/>
      <w:lvlText w:val="%1"/>
      <w:lvlJc w:val="left"/>
      <w:pPr>
        <w:ind w:left="1416"/>
      </w:pPr>
      <w:rPr>
        <w:rFonts w:ascii="Calibri" w:eastAsia="Calibri" w:hAnsi="Calibri" w:cs="Calibri"/>
        <w:b/>
        <w:bCs/>
        <w:i w:val="0"/>
        <w:strike w:val="0"/>
        <w:dstrike w:val="0"/>
        <w:color w:val="F58500"/>
        <w:sz w:val="40"/>
        <w:szCs w:val="40"/>
        <w:u w:val="none" w:color="000000"/>
        <w:bdr w:val="none" w:sz="0" w:space="0" w:color="auto"/>
        <w:shd w:val="clear" w:color="auto" w:fill="auto"/>
        <w:vertAlign w:val="baseline"/>
      </w:rPr>
    </w:lvl>
    <w:lvl w:ilvl="1" w:tplc="A5AE95A4">
      <w:start w:val="1"/>
      <w:numFmt w:val="decimal"/>
      <w:lvlText w:val="%2."/>
      <w:lvlJc w:val="left"/>
      <w:pPr>
        <w:ind w:left="6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C40DDD2">
      <w:start w:val="1"/>
      <w:numFmt w:val="lowerRoman"/>
      <w:lvlText w:val="%3"/>
      <w:lvlJc w:val="left"/>
      <w:pPr>
        <w:ind w:left="228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0A27AA0">
      <w:start w:val="1"/>
      <w:numFmt w:val="decimal"/>
      <w:lvlText w:val="%4"/>
      <w:lvlJc w:val="left"/>
      <w:pPr>
        <w:ind w:left="30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A0E7A64">
      <w:start w:val="1"/>
      <w:numFmt w:val="lowerLetter"/>
      <w:lvlText w:val="%5"/>
      <w:lvlJc w:val="left"/>
      <w:pPr>
        <w:ind w:left="37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41812AA">
      <w:start w:val="1"/>
      <w:numFmt w:val="lowerRoman"/>
      <w:lvlText w:val="%6"/>
      <w:lvlJc w:val="left"/>
      <w:pPr>
        <w:ind w:left="444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612A28C">
      <w:start w:val="1"/>
      <w:numFmt w:val="decimal"/>
      <w:lvlText w:val="%7"/>
      <w:lvlJc w:val="left"/>
      <w:pPr>
        <w:ind w:left="516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3EB63FD6">
      <w:start w:val="1"/>
      <w:numFmt w:val="lowerLetter"/>
      <w:lvlText w:val="%8"/>
      <w:lvlJc w:val="left"/>
      <w:pPr>
        <w:ind w:left="588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FF4B196">
      <w:start w:val="1"/>
      <w:numFmt w:val="lowerRoman"/>
      <w:lvlText w:val="%9"/>
      <w:lvlJc w:val="left"/>
      <w:pPr>
        <w:ind w:left="66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55224BF1"/>
    <w:multiLevelType w:val="hybridMultilevel"/>
    <w:tmpl w:val="3A9009C4"/>
    <w:lvl w:ilvl="0" w:tplc="0B8A1B0A">
      <w:start w:val="1"/>
      <w:numFmt w:val="decimal"/>
      <w:lvlText w:val="%1."/>
      <w:lvlJc w:val="left"/>
      <w:pPr>
        <w:ind w:left="6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89E0C16">
      <w:start w:val="1"/>
      <w:numFmt w:val="lowerLetter"/>
      <w:lvlText w:val="%2"/>
      <w:lvlJc w:val="left"/>
      <w:pPr>
        <w:ind w:left="24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2E68BD46">
      <w:start w:val="1"/>
      <w:numFmt w:val="lowerRoman"/>
      <w:lvlText w:val="%3"/>
      <w:lvlJc w:val="left"/>
      <w:pPr>
        <w:ind w:left="32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FDE3CA2">
      <w:start w:val="1"/>
      <w:numFmt w:val="decimal"/>
      <w:lvlText w:val="%4"/>
      <w:lvlJc w:val="left"/>
      <w:pPr>
        <w:ind w:left="39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B507230">
      <w:start w:val="1"/>
      <w:numFmt w:val="lowerLetter"/>
      <w:lvlText w:val="%5"/>
      <w:lvlJc w:val="left"/>
      <w:pPr>
        <w:ind w:left="465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3604C5C">
      <w:start w:val="1"/>
      <w:numFmt w:val="lowerRoman"/>
      <w:lvlText w:val="%6"/>
      <w:lvlJc w:val="left"/>
      <w:pPr>
        <w:ind w:left="537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FF6EC82">
      <w:start w:val="1"/>
      <w:numFmt w:val="decimal"/>
      <w:lvlText w:val="%7"/>
      <w:lvlJc w:val="left"/>
      <w:pPr>
        <w:ind w:left="60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C6B82366">
      <w:start w:val="1"/>
      <w:numFmt w:val="lowerLetter"/>
      <w:lvlText w:val="%8"/>
      <w:lvlJc w:val="left"/>
      <w:pPr>
        <w:ind w:left="68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FDAF58C">
      <w:start w:val="1"/>
      <w:numFmt w:val="lowerRoman"/>
      <w:lvlText w:val="%9"/>
      <w:lvlJc w:val="left"/>
      <w:pPr>
        <w:ind w:left="75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5FE17D97"/>
    <w:multiLevelType w:val="hybridMultilevel"/>
    <w:tmpl w:val="A5BCBD2A"/>
    <w:lvl w:ilvl="0" w:tplc="6798C532">
      <w:start w:val="2"/>
      <w:numFmt w:val="decimal"/>
      <w:lvlText w:val="%1)"/>
      <w:lvlJc w:val="left"/>
      <w:pPr>
        <w:ind w:left="6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A8C882D8">
      <w:start w:val="1"/>
      <w:numFmt w:val="lowerLetter"/>
      <w:lvlText w:val="%2"/>
      <w:lvlJc w:val="left"/>
      <w:pPr>
        <w:ind w:left="24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EF61340">
      <w:start w:val="1"/>
      <w:numFmt w:val="lowerRoman"/>
      <w:lvlText w:val="%3"/>
      <w:lvlJc w:val="left"/>
      <w:pPr>
        <w:ind w:left="32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1160232">
      <w:start w:val="1"/>
      <w:numFmt w:val="decimal"/>
      <w:lvlText w:val="%4"/>
      <w:lvlJc w:val="left"/>
      <w:pPr>
        <w:ind w:left="39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BE2EEF2">
      <w:start w:val="1"/>
      <w:numFmt w:val="lowerLetter"/>
      <w:lvlText w:val="%5"/>
      <w:lvlJc w:val="left"/>
      <w:pPr>
        <w:ind w:left="465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D644E9A">
      <w:start w:val="1"/>
      <w:numFmt w:val="lowerRoman"/>
      <w:lvlText w:val="%6"/>
      <w:lvlJc w:val="left"/>
      <w:pPr>
        <w:ind w:left="537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AD4A652">
      <w:start w:val="1"/>
      <w:numFmt w:val="decimal"/>
      <w:lvlText w:val="%7"/>
      <w:lvlJc w:val="left"/>
      <w:pPr>
        <w:ind w:left="60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30E8A876">
      <w:start w:val="1"/>
      <w:numFmt w:val="lowerLetter"/>
      <w:lvlText w:val="%8"/>
      <w:lvlJc w:val="left"/>
      <w:pPr>
        <w:ind w:left="68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5EC8896">
      <w:start w:val="1"/>
      <w:numFmt w:val="lowerRoman"/>
      <w:lvlText w:val="%9"/>
      <w:lvlJc w:val="left"/>
      <w:pPr>
        <w:ind w:left="75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71145CA4"/>
    <w:multiLevelType w:val="hybridMultilevel"/>
    <w:tmpl w:val="7C60144E"/>
    <w:lvl w:ilvl="0" w:tplc="6D6AEED0">
      <w:start w:val="2"/>
      <w:numFmt w:val="decimal"/>
      <w:lvlText w:val="%1"/>
      <w:lvlJc w:val="left"/>
      <w:pPr>
        <w:ind w:left="1416"/>
      </w:pPr>
      <w:rPr>
        <w:rFonts w:ascii="Calibri" w:eastAsia="Calibri" w:hAnsi="Calibri" w:cs="Calibri"/>
        <w:b/>
        <w:bCs/>
        <w:i w:val="0"/>
        <w:strike w:val="0"/>
        <w:dstrike w:val="0"/>
        <w:color w:val="4A8FA1"/>
        <w:sz w:val="40"/>
        <w:szCs w:val="40"/>
        <w:u w:val="none" w:color="000000"/>
        <w:bdr w:val="none" w:sz="0" w:space="0" w:color="auto"/>
        <w:shd w:val="clear" w:color="auto" w:fill="auto"/>
        <w:vertAlign w:val="baseline"/>
      </w:rPr>
    </w:lvl>
    <w:lvl w:ilvl="1" w:tplc="4CE66898">
      <w:start w:val="1"/>
      <w:numFmt w:val="lowerLetter"/>
      <w:lvlText w:val="%2"/>
      <w:lvlJc w:val="left"/>
      <w:pPr>
        <w:ind w:left="1080"/>
      </w:pPr>
      <w:rPr>
        <w:rFonts w:ascii="Calibri" w:eastAsia="Calibri" w:hAnsi="Calibri" w:cs="Calibri"/>
        <w:b/>
        <w:bCs/>
        <w:i w:val="0"/>
        <w:strike w:val="0"/>
        <w:dstrike w:val="0"/>
        <w:color w:val="4A8FA1"/>
        <w:sz w:val="40"/>
        <w:szCs w:val="40"/>
        <w:u w:val="none" w:color="000000"/>
        <w:bdr w:val="none" w:sz="0" w:space="0" w:color="auto"/>
        <w:shd w:val="clear" w:color="auto" w:fill="auto"/>
        <w:vertAlign w:val="baseline"/>
      </w:rPr>
    </w:lvl>
    <w:lvl w:ilvl="2" w:tplc="F5C29C90">
      <w:start w:val="1"/>
      <w:numFmt w:val="lowerRoman"/>
      <w:lvlText w:val="%3"/>
      <w:lvlJc w:val="left"/>
      <w:pPr>
        <w:ind w:left="1800"/>
      </w:pPr>
      <w:rPr>
        <w:rFonts w:ascii="Calibri" w:eastAsia="Calibri" w:hAnsi="Calibri" w:cs="Calibri"/>
        <w:b/>
        <w:bCs/>
        <w:i w:val="0"/>
        <w:strike w:val="0"/>
        <w:dstrike w:val="0"/>
        <w:color w:val="4A8FA1"/>
        <w:sz w:val="40"/>
        <w:szCs w:val="40"/>
        <w:u w:val="none" w:color="000000"/>
        <w:bdr w:val="none" w:sz="0" w:space="0" w:color="auto"/>
        <w:shd w:val="clear" w:color="auto" w:fill="auto"/>
        <w:vertAlign w:val="baseline"/>
      </w:rPr>
    </w:lvl>
    <w:lvl w:ilvl="3" w:tplc="AC1E87E6">
      <w:start w:val="1"/>
      <w:numFmt w:val="decimal"/>
      <w:lvlText w:val="%4"/>
      <w:lvlJc w:val="left"/>
      <w:pPr>
        <w:ind w:left="2520"/>
      </w:pPr>
      <w:rPr>
        <w:rFonts w:ascii="Calibri" w:eastAsia="Calibri" w:hAnsi="Calibri" w:cs="Calibri"/>
        <w:b/>
        <w:bCs/>
        <w:i w:val="0"/>
        <w:strike w:val="0"/>
        <w:dstrike w:val="0"/>
        <w:color w:val="4A8FA1"/>
        <w:sz w:val="40"/>
        <w:szCs w:val="40"/>
        <w:u w:val="none" w:color="000000"/>
        <w:bdr w:val="none" w:sz="0" w:space="0" w:color="auto"/>
        <w:shd w:val="clear" w:color="auto" w:fill="auto"/>
        <w:vertAlign w:val="baseline"/>
      </w:rPr>
    </w:lvl>
    <w:lvl w:ilvl="4" w:tplc="FEF0CC58">
      <w:start w:val="1"/>
      <w:numFmt w:val="lowerLetter"/>
      <w:lvlText w:val="%5"/>
      <w:lvlJc w:val="left"/>
      <w:pPr>
        <w:ind w:left="3240"/>
      </w:pPr>
      <w:rPr>
        <w:rFonts w:ascii="Calibri" w:eastAsia="Calibri" w:hAnsi="Calibri" w:cs="Calibri"/>
        <w:b/>
        <w:bCs/>
        <w:i w:val="0"/>
        <w:strike w:val="0"/>
        <w:dstrike w:val="0"/>
        <w:color w:val="4A8FA1"/>
        <w:sz w:val="40"/>
        <w:szCs w:val="40"/>
        <w:u w:val="none" w:color="000000"/>
        <w:bdr w:val="none" w:sz="0" w:space="0" w:color="auto"/>
        <w:shd w:val="clear" w:color="auto" w:fill="auto"/>
        <w:vertAlign w:val="baseline"/>
      </w:rPr>
    </w:lvl>
    <w:lvl w:ilvl="5" w:tplc="D30C0CE6">
      <w:start w:val="1"/>
      <w:numFmt w:val="lowerRoman"/>
      <w:lvlText w:val="%6"/>
      <w:lvlJc w:val="left"/>
      <w:pPr>
        <w:ind w:left="3960"/>
      </w:pPr>
      <w:rPr>
        <w:rFonts w:ascii="Calibri" w:eastAsia="Calibri" w:hAnsi="Calibri" w:cs="Calibri"/>
        <w:b/>
        <w:bCs/>
        <w:i w:val="0"/>
        <w:strike w:val="0"/>
        <w:dstrike w:val="0"/>
        <w:color w:val="4A8FA1"/>
        <w:sz w:val="40"/>
        <w:szCs w:val="40"/>
        <w:u w:val="none" w:color="000000"/>
        <w:bdr w:val="none" w:sz="0" w:space="0" w:color="auto"/>
        <w:shd w:val="clear" w:color="auto" w:fill="auto"/>
        <w:vertAlign w:val="baseline"/>
      </w:rPr>
    </w:lvl>
    <w:lvl w:ilvl="6" w:tplc="2AFC89DE">
      <w:start w:val="1"/>
      <w:numFmt w:val="decimal"/>
      <w:lvlText w:val="%7"/>
      <w:lvlJc w:val="left"/>
      <w:pPr>
        <w:ind w:left="4680"/>
      </w:pPr>
      <w:rPr>
        <w:rFonts w:ascii="Calibri" w:eastAsia="Calibri" w:hAnsi="Calibri" w:cs="Calibri"/>
        <w:b/>
        <w:bCs/>
        <w:i w:val="0"/>
        <w:strike w:val="0"/>
        <w:dstrike w:val="0"/>
        <w:color w:val="4A8FA1"/>
        <w:sz w:val="40"/>
        <w:szCs w:val="40"/>
        <w:u w:val="none" w:color="000000"/>
        <w:bdr w:val="none" w:sz="0" w:space="0" w:color="auto"/>
        <w:shd w:val="clear" w:color="auto" w:fill="auto"/>
        <w:vertAlign w:val="baseline"/>
      </w:rPr>
    </w:lvl>
    <w:lvl w:ilvl="7" w:tplc="B360D756">
      <w:start w:val="1"/>
      <w:numFmt w:val="lowerLetter"/>
      <w:lvlText w:val="%8"/>
      <w:lvlJc w:val="left"/>
      <w:pPr>
        <w:ind w:left="5400"/>
      </w:pPr>
      <w:rPr>
        <w:rFonts w:ascii="Calibri" w:eastAsia="Calibri" w:hAnsi="Calibri" w:cs="Calibri"/>
        <w:b/>
        <w:bCs/>
        <w:i w:val="0"/>
        <w:strike w:val="0"/>
        <w:dstrike w:val="0"/>
        <w:color w:val="4A8FA1"/>
        <w:sz w:val="40"/>
        <w:szCs w:val="40"/>
        <w:u w:val="none" w:color="000000"/>
        <w:bdr w:val="none" w:sz="0" w:space="0" w:color="auto"/>
        <w:shd w:val="clear" w:color="auto" w:fill="auto"/>
        <w:vertAlign w:val="baseline"/>
      </w:rPr>
    </w:lvl>
    <w:lvl w:ilvl="8" w:tplc="8B8C1950">
      <w:start w:val="1"/>
      <w:numFmt w:val="lowerRoman"/>
      <w:lvlText w:val="%9"/>
      <w:lvlJc w:val="left"/>
      <w:pPr>
        <w:ind w:left="6120"/>
      </w:pPr>
      <w:rPr>
        <w:rFonts w:ascii="Calibri" w:eastAsia="Calibri" w:hAnsi="Calibri" w:cs="Calibri"/>
        <w:b/>
        <w:bCs/>
        <w:i w:val="0"/>
        <w:strike w:val="0"/>
        <w:dstrike w:val="0"/>
        <w:color w:val="4A8FA1"/>
        <w:sz w:val="40"/>
        <w:szCs w:val="40"/>
        <w:u w:val="none" w:color="000000"/>
        <w:bdr w:val="none" w:sz="0" w:space="0" w:color="auto"/>
        <w:shd w:val="clear" w:color="auto" w:fill="auto"/>
        <w:vertAlign w:val="baseline"/>
      </w:rPr>
    </w:lvl>
  </w:abstractNum>
  <w:num w:numId="1" w16cid:durableId="55445730">
    <w:abstractNumId w:val="4"/>
  </w:num>
  <w:num w:numId="2" w16cid:durableId="1398820944">
    <w:abstractNumId w:val="2"/>
  </w:num>
  <w:num w:numId="3" w16cid:durableId="569727439">
    <w:abstractNumId w:val="6"/>
  </w:num>
  <w:num w:numId="4" w16cid:durableId="1092698979">
    <w:abstractNumId w:val="7"/>
  </w:num>
  <w:num w:numId="5" w16cid:durableId="1980186357">
    <w:abstractNumId w:val="0"/>
  </w:num>
  <w:num w:numId="6" w16cid:durableId="720863075">
    <w:abstractNumId w:val="1"/>
  </w:num>
  <w:num w:numId="7" w16cid:durableId="1678799709">
    <w:abstractNumId w:val="3"/>
  </w:num>
  <w:num w:numId="8" w16cid:durableId="10014673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479A"/>
    <w:rsid w:val="00190069"/>
    <w:rsid w:val="001A479A"/>
    <w:rsid w:val="002D5550"/>
    <w:rsid w:val="002E36C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0F2F6"/>
  <w15:docId w15:val="{497FB917-73F6-45B5-8AD9-B78AD5065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8" Type="http://schemas.openxmlformats.org/officeDocument/2006/relationships/image" Target="media/image10.png"/><Relationship Id="rId7" Type="http://schemas.openxmlformats.org/officeDocument/2006/relationships/image" Target="media/image0.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8" Type="http://schemas.openxmlformats.org/officeDocument/2006/relationships/image" Target="media/image10.png"/><Relationship Id="rId7" Type="http://schemas.openxmlformats.org/officeDocument/2006/relationships/image" Target="media/image0.png"/><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8" Type="http://schemas.openxmlformats.org/officeDocument/2006/relationships/image" Target="media/image10.png"/><Relationship Id="rId7" Type="http://schemas.openxmlformats.org/officeDocument/2006/relationships/image" Target="media/image0.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3795</Words>
  <Characters>20499</Characters>
  <Application>Microsoft Office Word</Application>
  <DocSecurity>0</DocSecurity>
  <Lines>170</Lines>
  <Paragraphs>48</Paragraphs>
  <ScaleCrop>false</ScaleCrop>
  <Company/>
  <LinksUpToDate>false</LinksUpToDate>
  <CharactersWithSpaces>24246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Samilly Vitória Costa Mendes</dc:creator>
  <cp:keywords/>
  <cp:lastModifiedBy>Samilly Vitória Costa Mendes</cp:lastModifiedBy>
  <cp:revision>2</cp:revision>
  <dcterms:created xsi:type="dcterms:W3CDTF">2026-08-24T20:58:00Z</dcterms:created>
  <dcterms:modified xsi:type="dcterms:W3CDTF">2026-08-24T20:58:00Z</dcterms:modified>
</cp:coreProperties>
</file>