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0862" w:rsidRDefault="00000000">
      <w:pPr>
        <w:spacing w:after="96" w:line="259" w:lineRule="auto"/>
        <w:ind w:firstLine="0"/>
        <w:jc w:val="left"/>
      </w:pPr>
      <w:r>
        <w:rPr>
          <w:sz w:val="28"/>
        </w:rPr>
        <w:t xml:space="preserve"> </w:t>
      </w:r>
    </w:p>
    <w:p w:rsidR="00550862" w:rsidRDefault="00000000">
      <w:pPr>
        <w:spacing w:after="1" w:line="241" w:lineRule="auto"/>
        <w:ind w:left="-15" w:right="-6" w:firstLine="700"/>
        <w:jc w:val="left"/>
      </w:pPr>
      <w:r>
        <w:rPr>
          <w:sz w:val="28"/>
        </w:rPr>
        <w:t xml:space="preserve">Este boletim periódico apresenta um conjunto de decisões do Tribunal de Contas do Distrito Federal (TCDF) que foram destacadas por sua relevância.   </w:t>
      </w:r>
    </w:p>
    <w:p w:rsidR="00550862" w:rsidRDefault="00000000">
      <w:pPr>
        <w:spacing w:after="1" w:line="241" w:lineRule="auto"/>
        <w:ind w:left="-15" w:right="-6" w:firstLine="700"/>
        <w:jc w:val="left"/>
      </w:pPr>
      <w:r>
        <w:rPr>
          <w:sz w:val="28"/>
        </w:rPr>
        <w:t xml:space="preserve">As decisões estão expostas por meio de resumos produzidos pela Supervisão de Legislação e Jurisprudência - SLJ ou pela ementa dos votos dos Conselheiros Relatores.  </w:t>
      </w:r>
    </w:p>
    <w:p w:rsidR="00550862" w:rsidRDefault="00000000">
      <w:pPr>
        <w:spacing w:after="1" w:line="241" w:lineRule="auto"/>
        <w:ind w:left="-15" w:right="-6" w:firstLine="700"/>
        <w:jc w:val="left"/>
      </w:pPr>
      <w:r>
        <w:rPr>
          <w:sz w:val="28"/>
        </w:rPr>
        <w:t xml:space="preserve">Importante destacar que as informações não são um resumo oficial, nem refletem necessariamente a opinião dominante do Tribunal.    </w:t>
      </w:r>
    </w:p>
    <w:p w:rsidR="00550862" w:rsidRDefault="00000000">
      <w:pPr>
        <w:spacing w:after="216" w:line="259" w:lineRule="auto"/>
        <w:ind w:firstLine="0"/>
        <w:jc w:val="left"/>
      </w:pPr>
      <w:r>
        <w:rPr>
          <w:sz w:val="28"/>
        </w:rPr>
        <w:t xml:space="preserve">Para detalhes, acesse os documentos do processo pelos links fornecidos.  </w:t>
      </w:r>
    </w:p>
    <w:p w:rsidR="00550862" w:rsidRDefault="00000000">
      <w:pPr>
        <w:spacing w:after="0" w:line="259" w:lineRule="auto"/>
        <w:ind w:left="390" w:firstLine="0"/>
        <w:jc w:val="left"/>
      </w:pPr>
      <w:r>
        <w:rPr>
          <w:sz w:val="28"/>
        </w:rPr>
        <w:t xml:space="preserve"> </w:t>
      </w:r>
    </w:p>
    <w:p w:rsidR="00550862" w:rsidRDefault="00000000">
      <w:pPr>
        <w:spacing w:after="720" w:line="259" w:lineRule="auto"/>
        <w:ind w:left="2932" w:firstLine="0"/>
        <w:jc w:val="left"/>
      </w:pPr>
      <w:r>
        <w:rPr>
          <w:noProof/>
          <w:sz w:val="22"/>
        </w:rPr>
        <mc:AlternateContent>
          <mc:Choice Requires="wpg">
            <w:drawing>
              <wp:inline distT="0" distB="0" distL="0" distR="0">
                <wp:extent cx="2998470" cy="19050"/>
                <wp:effectExtent l="0" t="0" r="0" b="0"/>
                <wp:docPr id="15228" name="Group 15228"/>
                <wp:cNvGraphicFramePr/>
                <a:graphic xmlns:a="http://schemas.openxmlformats.org/drawingml/2006/main">
                  <a:graphicData uri="http://schemas.microsoft.com/office/word/2010/wordprocessingGroup">
                    <wpg:wgp>
                      <wpg:cNvGrpSpPr/>
                      <wpg:grpSpPr>
                        <a:xfrm>
                          <a:off x="0" y="0"/>
                          <a:ext cx="2998470" cy="19050"/>
                          <a:chOff x="0" y="0"/>
                          <a:chExt cx="2998470" cy="19050"/>
                        </a:xfrm>
                      </wpg:grpSpPr>
                      <wps:wsp>
                        <wps:cNvPr id="154" name="Shape 154"/>
                        <wps:cNvSpPr/>
                        <wps:spPr>
                          <a:xfrm>
                            <a:off x="0" y="0"/>
                            <a:ext cx="2998470" cy="0"/>
                          </a:xfrm>
                          <a:custGeom>
                            <a:avLst/>
                            <a:gdLst/>
                            <a:ahLst/>
                            <a:cxnLst/>
                            <a:rect l="0" t="0" r="0" b="0"/>
                            <a:pathLst>
                              <a:path w="2998470">
                                <a:moveTo>
                                  <a:pt x="0" y="0"/>
                                </a:moveTo>
                                <a:lnTo>
                                  <a:pt x="2998470" y="0"/>
                                </a:lnTo>
                              </a:path>
                            </a:pathLst>
                          </a:custGeom>
                          <a:ln w="19050" cap="flat">
                            <a:miter lim="127000"/>
                          </a:ln>
                        </wps:spPr>
                        <wps:style>
                          <a:lnRef idx="1">
                            <a:srgbClr val="4472C4"/>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5228" style="width:236.1pt;height:1.5pt;mso-position-horizontal-relative:char;mso-position-vertical-relative:line" coordsize="29984,190">
                <v:shape id="Shape 154" style="position:absolute;width:29984;height:0;left:0;top:0;" coordsize="2998470,0" path="m0,0l2998470,0">
                  <v:stroke weight="1.5pt" endcap="flat" joinstyle="miter" miterlimit="10" on="true" color="#4472c4"/>
                  <v:fill on="false" color="#000000" opacity="0"/>
                </v:shape>
              </v:group>
            </w:pict>
          </mc:Fallback>
        </mc:AlternateContent>
      </w:r>
    </w:p>
    <w:p w:rsidR="00550862" w:rsidRDefault="00000000">
      <w:pPr>
        <w:pStyle w:val="Ttulo1"/>
      </w:pPr>
      <w:r>
        <w:t>Licitações e Contratos (novembro a dezembro/2025)</w:t>
      </w:r>
      <w:r>
        <w:rPr>
          <w:color w:val="004364"/>
        </w:rPr>
        <w:t xml:space="preserve">  </w:t>
      </w:r>
    </w:p>
    <w:p w:rsidR="00550862" w:rsidRDefault="00000000">
      <w:pPr>
        <w:tabs>
          <w:tab w:val="right" w:pos="10594"/>
        </w:tabs>
        <w:spacing w:after="13" w:line="251" w:lineRule="auto"/>
        <w:ind w:left="0" w:firstLine="0"/>
        <w:jc w:val="left"/>
      </w:pPr>
      <w:r>
        <w:rPr>
          <w:b/>
          <w:color w:val="F58500"/>
          <w:sz w:val="40"/>
        </w:rPr>
        <w:t>1</w:t>
      </w:r>
      <w:r>
        <w:rPr>
          <w:color w:val="004364"/>
          <w:sz w:val="40"/>
        </w:rPr>
        <w:t xml:space="preserve">   </w:t>
      </w:r>
      <w:r>
        <w:t xml:space="preserve">  </w:t>
      </w:r>
      <w:r>
        <w:tab/>
      </w:r>
      <w:r>
        <w:rPr>
          <w:b/>
        </w:rPr>
        <w:t xml:space="preserve">LICITAÇÕES E CONTRATOS. LICITAÇÃO. POLÍCIA MILITAR DO DISTRITO FEDERAL. PREGÃO </w:t>
      </w:r>
    </w:p>
    <w:p w:rsidR="00550862" w:rsidRDefault="00000000">
      <w:pPr>
        <w:spacing w:after="13" w:line="251" w:lineRule="auto"/>
        <w:ind w:left="705" w:hanging="10"/>
      </w:pPr>
      <w:r>
        <w:rPr>
          <w:b/>
        </w:rPr>
        <w:t xml:space="preserve">ELETRÔNICO INTERNACIONAL. AQUISIÇÃO DE ROBÔS PARA USO EM OPERAÇÕES ANTIBOMBAS. </w:t>
      </w:r>
    </w:p>
    <w:p w:rsidR="00550862" w:rsidRDefault="00000000">
      <w:pPr>
        <w:spacing w:after="13" w:line="251" w:lineRule="auto"/>
        <w:ind w:left="705" w:hanging="10"/>
      </w:pPr>
      <w:r>
        <w:rPr>
          <w:b/>
        </w:rPr>
        <w:t xml:space="preserve">SUSPENSÃO DO CERTAME. ADOÇÃO DE MEDIDAS CORRETIVAS NO EDITAL. AUTORIZAÇÃO PARA CONTINUIDADE. INGRESSO DE REPRESENTAÇÃO. LICITANTE. SUPOSTAS IRREGULARIDADES. DESCLASSIFICAÇÃO DE PROPOSTA. PEDIDO CAUTELAR POSTERGADO. DETERMINAÇÃO. EXAME DE MÉRITO. IMPROCEDÊNCIA. ARQUIVAMENTO. </w:t>
      </w:r>
    </w:p>
    <w:p w:rsidR="00550862" w:rsidRDefault="00000000">
      <w:pPr>
        <w:spacing w:after="0" w:line="259" w:lineRule="auto"/>
        <w:ind w:left="1416" w:firstLine="0"/>
        <w:jc w:val="left"/>
      </w:pPr>
      <w:r>
        <w:t xml:space="preserve"> </w:t>
      </w:r>
    </w:p>
    <w:p w:rsidR="00550862" w:rsidRDefault="00000000">
      <w:pPr>
        <w:numPr>
          <w:ilvl w:val="0"/>
          <w:numId w:val="1"/>
        </w:numPr>
        <w:spacing w:after="2" w:line="240" w:lineRule="auto"/>
        <w:ind w:right="3" w:firstLine="701"/>
        <w:jc w:val="left"/>
      </w:pPr>
      <w:r>
        <w:t xml:space="preserve">Conforme a Súmula 473 do Supremo Tribunal Federal, a Administração Pública pode anular ou revisar seus atos quando verificada ilegalidade ou erro técnico, devendo exercer a autotutela para corrigir desconformidades, sem que isso implique violação à segurança jurídica. </w:t>
      </w:r>
    </w:p>
    <w:p w:rsidR="00550862" w:rsidRDefault="00000000">
      <w:pPr>
        <w:spacing w:after="0" w:line="259" w:lineRule="auto"/>
        <w:ind w:left="1416" w:firstLine="0"/>
        <w:jc w:val="left"/>
      </w:pPr>
      <w:r>
        <w:t xml:space="preserve"> </w:t>
      </w:r>
    </w:p>
    <w:p w:rsidR="00550862" w:rsidRDefault="00000000">
      <w:pPr>
        <w:numPr>
          <w:ilvl w:val="0"/>
          <w:numId w:val="1"/>
        </w:numPr>
        <w:ind w:right="3" w:firstLine="701"/>
        <w:jc w:val="left"/>
      </w:pPr>
      <w:r>
        <w:t xml:space="preserve">Diante da ausência de verificação das irregularidades apontadas na Representação enseja a sua improcedência e o arquivamento do feito. </w:t>
      </w:r>
    </w:p>
    <w:p w:rsidR="00550862" w:rsidRDefault="00000000">
      <w:pPr>
        <w:spacing w:after="0" w:line="259" w:lineRule="auto"/>
        <w:ind w:left="1416" w:firstLine="0"/>
        <w:jc w:val="left"/>
      </w:pPr>
      <w:r>
        <w:t xml:space="preserve"> </w:t>
      </w:r>
    </w:p>
    <w:p w:rsidR="00550862" w:rsidRDefault="00000000">
      <w:pPr>
        <w:tabs>
          <w:tab w:val="center" w:pos="1110"/>
          <w:tab w:val="center" w:pos="2126"/>
          <w:tab w:val="center" w:pos="2831"/>
          <w:tab w:val="center" w:pos="3542"/>
          <w:tab w:val="center" w:pos="4252"/>
          <w:tab w:val="center" w:pos="5328"/>
        </w:tabs>
        <w:spacing w:after="13" w:line="251" w:lineRule="auto"/>
        <w:ind w:left="0" w:firstLine="0"/>
        <w:jc w:val="left"/>
      </w:pPr>
      <w:r>
        <w:rPr>
          <w:sz w:val="22"/>
        </w:rPr>
        <w:tab/>
      </w:r>
      <w:r>
        <w:rPr>
          <w:b/>
        </w:rPr>
        <w:t>Relator:</w:t>
      </w:r>
      <w:r>
        <w:t xml:space="preserve"> </w:t>
      </w:r>
      <w:r>
        <w:tab/>
        <w:t xml:space="preserve"> </w:t>
      </w:r>
      <w:r>
        <w:tab/>
        <w:t xml:space="preserve"> </w:t>
      </w:r>
      <w:r>
        <w:tab/>
        <w:t xml:space="preserve"> </w:t>
      </w:r>
      <w:r>
        <w:tab/>
        <w:t xml:space="preserve"> </w:t>
      </w:r>
      <w:r>
        <w:tab/>
      </w:r>
      <w:r>
        <w:rPr>
          <w:b/>
        </w:rPr>
        <w:t xml:space="preserve">Sessão: </w:t>
      </w:r>
    </w:p>
    <w:p w:rsidR="00550862" w:rsidRDefault="00000000">
      <w:pPr>
        <w:tabs>
          <w:tab w:val="center" w:pos="2328"/>
          <w:tab w:val="center" w:pos="4252"/>
          <w:tab w:val="center" w:pos="6782"/>
        </w:tabs>
        <w:spacing w:after="13" w:line="251" w:lineRule="auto"/>
        <w:ind w:left="0" w:firstLine="0"/>
        <w:jc w:val="left"/>
      </w:pPr>
      <w:r>
        <w:rPr>
          <w:sz w:val="22"/>
        </w:rPr>
        <w:tab/>
      </w:r>
      <w:r>
        <w:rPr>
          <w:b/>
        </w:rPr>
        <w:t>André Clemente Lara de Oliveira</w:t>
      </w:r>
      <w:r>
        <w:t xml:space="preserve"> </w:t>
      </w:r>
      <w:r>
        <w:tab/>
        <w:t xml:space="preserve"> </w:t>
      </w:r>
      <w:r>
        <w:tab/>
      </w:r>
      <w:r>
        <w:rPr>
          <w:b/>
        </w:rPr>
        <w:t xml:space="preserve">ORDINÁRIA nº 5446, de 12/11/2025. </w:t>
      </w:r>
    </w:p>
    <w:p w:rsidR="00550862" w:rsidRDefault="00000000">
      <w:pPr>
        <w:pStyle w:val="Ttulo2"/>
        <w:tabs>
          <w:tab w:val="center" w:pos="1982"/>
          <w:tab w:val="center" w:pos="3542"/>
          <w:tab w:val="center" w:pos="4252"/>
          <w:tab w:val="center" w:pos="6973"/>
        </w:tabs>
        <w:ind w:left="0" w:firstLine="0"/>
      </w:pPr>
      <w:r>
        <w:rPr>
          <w:color w:val="000000"/>
          <w:sz w:val="22"/>
          <w:u w:val="none" w:color="000000"/>
        </w:rPr>
        <w:tab/>
      </w:r>
      <w:r>
        <w:rPr>
          <w:b/>
          <w:color w:val="000000"/>
          <w:u w:val="none" w:color="000000"/>
        </w:rPr>
        <w:t>Decisão por unanimidade</w:t>
      </w:r>
      <w:r>
        <w:rPr>
          <w:color w:val="000000"/>
          <w:u w:val="none" w:color="000000"/>
        </w:rPr>
        <w:t xml:space="preserve"> </w:t>
      </w:r>
      <w:r>
        <w:rPr>
          <w:color w:val="000000"/>
          <w:u w:val="none" w:color="000000"/>
        </w:rPr>
        <w:tab/>
        <w:t xml:space="preserve"> </w:t>
      </w:r>
      <w:r>
        <w:rPr>
          <w:color w:val="000000"/>
          <w:u w:val="none" w:color="000000"/>
        </w:rPr>
        <w:tab/>
        <w:t xml:space="preserve"> </w:t>
      </w:r>
      <w:r>
        <w:rPr>
          <w:color w:val="000000"/>
          <w:u w:val="none" w:color="000000"/>
        </w:rPr>
        <w:tab/>
      </w:r>
      <w:r>
        <w:t>Proc. nº 12498/2023</w:t>
      </w:r>
      <w:r>
        <w:rPr>
          <w:color w:val="2A69C5"/>
        </w:rPr>
        <w:t xml:space="preserve"> - </w:t>
      </w:r>
      <w:r>
        <w:t>Dec. nº 4533/2025</w:t>
      </w:r>
      <w:r>
        <w:rPr>
          <w:color w:val="000000"/>
          <w:u w:val="none" w:color="000000"/>
        </w:rPr>
        <w:t xml:space="preserve"> </w:t>
      </w:r>
    </w:p>
    <w:p w:rsidR="00550862" w:rsidRDefault="00000000">
      <w:pPr>
        <w:spacing w:after="0" w:line="259" w:lineRule="auto"/>
        <w:ind w:left="1416" w:firstLine="0"/>
        <w:jc w:val="left"/>
      </w:pPr>
      <w:r>
        <w:rPr>
          <w:b/>
        </w:rPr>
        <w:t xml:space="preserve"> </w:t>
      </w:r>
    </w:p>
    <w:p w:rsidR="00550862" w:rsidRDefault="00000000">
      <w:pPr>
        <w:spacing w:after="13" w:line="251" w:lineRule="auto"/>
        <w:ind w:left="705" w:hanging="10"/>
      </w:pPr>
      <w:r>
        <w:rPr>
          <w:b/>
        </w:rPr>
        <w:t>Precedentes externos:</w:t>
      </w:r>
      <w:r>
        <w:t xml:space="preserve"> </w:t>
      </w:r>
    </w:p>
    <w:p w:rsidR="00550862" w:rsidRDefault="00000000">
      <w:pPr>
        <w:spacing w:after="5"/>
        <w:ind w:left="705" w:hanging="10"/>
        <w:jc w:val="left"/>
      </w:pPr>
      <w:r>
        <w:rPr>
          <w:rFonts w:ascii="Segoe UI" w:eastAsia="Segoe UI" w:hAnsi="Segoe UI" w:cs="Segoe UI"/>
          <w:color w:val="0563C1"/>
          <w:u w:val="single" w:color="0563C1"/>
        </w:rPr>
        <w:t>STF: Súmula nº 473</w:t>
      </w:r>
      <w:r>
        <w:rPr>
          <w:rFonts w:ascii="Segoe UI" w:eastAsia="Segoe UI" w:hAnsi="Segoe UI" w:cs="Segoe UI"/>
        </w:rPr>
        <w:t xml:space="preserve"> </w:t>
      </w:r>
    </w:p>
    <w:p w:rsidR="00550862" w:rsidRDefault="00000000">
      <w:pPr>
        <w:spacing w:after="0" w:line="259" w:lineRule="auto"/>
        <w:ind w:left="700" w:firstLine="0"/>
        <w:jc w:val="left"/>
      </w:pPr>
      <w:r>
        <w:rPr>
          <w:b/>
        </w:rPr>
        <w:t xml:space="preserve"> </w:t>
      </w:r>
    </w:p>
    <w:p w:rsidR="00550862" w:rsidRDefault="00000000">
      <w:pPr>
        <w:spacing w:after="13" w:line="251" w:lineRule="auto"/>
        <w:ind w:left="705" w:hanging="10"/>
      </w:pPr>
      <w:r>
        <w:rPr>
          <w:b/>
        </w:rPr>
        <w:lastRenderedPageBreak/>
        <w:t xml:space="preserve">Legislação relacionada: </w:t>
      </w:r>
      <w:r>
        <w:t xml:space="preserve"> </w:t>
      </w:r>
    </w:p>
    <w:p w:rsidR="00550862" w:rsidRDefault="00000000">
      <w:pPr>
        <w:spacing w:after="5"/>
        <w:ind w:left="705" w:hanging="10"/>
        <w:jc w:val="left"/>
      </w:pPr>
      <w:r>
        <w:rPr>
          <w:rFonts w:ascii="Segoe UI" w:eastAsia="Segoe UI" w:hAnsi="Segoe UI" w:cs="Segoe UI"/>
          <w:color w:val="0563C1"/>
          <w:u w:val="single" w:color="0563C1"/>
        </w:rPr>
        <w:t>Lei nº 14.133/2021, Art. 5º.</w:t>
      </w:r>
      <w:r>
        <w:rPr>
          <w:rFonts w:ascii="Segoe UI" w:eastAsia="Segoe UI" w:hAnsi="Segoe UI" w:cs="Segoe UI"/>
        </w:rPr>
        <w:t xml:space="preserve"> </w:t>
      </w:r>
    </w:p>
    <w:p w:rsidR="00550862" w:rsidRDefault="00000000">
      <w:pPr>
        <w:spacing w:after="0" w:line="259" w:lineRule="auto"/>
        <w:ind w:left="700" w:firstLine="0"/>
        <w:jc w:val="left"/>
      </w:pPr>
      <w:r>
        <w:rPr>
          <w:rFonts w:ascii="Segoe UI" w:eastAsia="Segoe UI" w:hAnsi="Segoe UI" w:cs="Segoe UI"/>
        </w:rPr>
        <w:t xml:space="preserve"> </w:t>
      </w:r>
    </w:p>
    <w:p w:rsidR="00550862" w:rsidRDefault="00000000">
      <w:pPr>
        <w:numPr>
          <w:ilvl w:val="0"/>
          <w:numId w:val="2"/>
        </w:numPr>
        <w:spacing w:after="13" w:line="251" w:lineRule="auto"/>
        <w:ind w:hanging="1206"/>
      </w:pPr>
      <w:r>
        <w:rPr>
          <w:b/>
        </w:rPr>
        <w:t xml:space="preserve">LICITAÇÕES E CONTRATOS. REPRESENTAÇÃO. DEPARTAMENTO DE TRÂNSITO DO DISTRITO FEDERAL - DETRAN/DF. EDITAL DE CREDENCIAMENTO.  REGISTRO DE CONTRATOS DE FINANCIAMENTO DE VEÍCULOS. INTELIGÊNCIA ARTIFICIAL. DIRECIONAMENTO DO OBJETO. DATACENTER TIER III. RESTRIÇÃO À COMPETITIVIDADE. ATESTADO DE CAPACIDADE TÉCNICA. QUANTITATIVO MÍNIMO. </w:t>
      </w:r>
    </w:p>
    <w:p w:rsidR="00550862" w:rsidRDefault="00000000">
      <w:pPr>
        <w:spacing w:after="0" w:line="259" w:lineRule="auto"/>
        <w:ind w:left="1416" w:firstLine="0"/>
        <w:jc w:val="left"/>
      </w:pPr>
      <w:r>
        <w:t xml:space="preserve"> </w:t>
      </w:r>
    </w:p>
    <w:p w:rsidR="00550862" w:rsidRDefault="00000000">
      <w:pPr>
        <w:ind w:left="695" w:right="5"/>
      </w:pPr>
      <w:r>
        <w:t xml:space="preserve">Representação acerca de possíveis irregularidades relacionadas à Instrução nº 629, de 05/06/2025, do Departamento de Trânsito do Distrito Federal - DETRAN/DF, que estabelece os procedimentos relativos ao credenciamento de pessoas jurídicas para efetuarem o registro de contratos de financiamento, com garantia real, de veículo no âmbito do Distrito Federal. Ponderou-se que a exigência de integração de recursos de Inteligência Artificial - IA à solução proposta pode configurar direcionamento do objeto, ao impor o uso de tecnologia avançada e específica que não encontra respaldo expresso em lei ou norma vigente. Ressaltou-se que, embora seja tendência futura integrar Inteligência Artificial em registros públicos, antecipar este requisito pode limitar a participação e restringir a competitividade no contexto atual. Considerou-se que a exigência de hospedagem exclusiva em datacenter Tier III representa custos elevados e restringe a competitividade, já que o serviço não possui o mesmo grau de criticidade de operações que demandam altíssima disponibilidade, sendo um Acordo de Nível de Serviço (SLA) bem definido suficiente para garantir padrões adequados. Quanto à exigência de registro de, no mínimo, 50.000 contratos nos últimos 12 meses, determinou-se que o Jurisdicionado adeque o quantitativo ao limite de 50% dos registros efetivamente processados, conforme a legislação e jurisprudência pertinentes. Assim, por unanimidade, o Tribunal decidiu considerar parcialmente procedente a representação para determinar ao DETRAN/DF a exclusão tanto da obrigatoriedade de comprovação de integração de IA à solução, quanto da exigência de que a empresa hospede o software e o banco de dados em datacenter classificado como Tier III, bem como que adeque o quantitativo exigido ao limite de 50% dos registros efetivamente processados, conforme a legislação e jurisprudência pertinentes, caso se verifique excesso frente ao número real do órgão. </w:t>
      </w:r>
    </w:p>
    <w:p w:rsidR="00550862" w:rsidRDefault="00000000">
      <w:pPr>
        <w:spacing w:after="0" w:line="259" w:lineRule="auto"/>
        <w:ind w:left="1416" w:firstLine="0"/>
        <w:jc w:val="left"/>
      </w:pPr>
      <w:r>
        <w:t xml:space="preserve"> </w:t>
      </w:r>
    </w:p>
    <w:tbl>
      <w:tblPr>
        <w:tblStyle w:val="TableGrid"/>
        <w:tblW w:w="8213" w:type="dxa"/>
        <w:tblInd w:w="710" w:type="dxa"/>
        <w:tblCellMar>
          <w:top w:w="0" w:type="dxa"/>
          <w:left w:w="0" w:type="dxa"/>
          <w:bottom w:w="0" w:type="dxa"/>
          <w:right w:w="0" w:type="dxa"/>
        </w:tblCellMar>
        <w:tblLook w:val="04A0" w:firstRow="1" w:lastRow="0" w:firstColumn="1" w:lastColumn="0" w:noHBand="0" w:noVBand="1"/>
      </w:tblPr>
      <w:tblGrid>
        <w:gridCol w:w="2831"/>
        <w:gridCol w:w="710"/>
        <w:gridCol w:w="706"/>
        <w:gridCol w:w="3966"/>
      </w:tblGrid>
      <w:tr w:rsidR="00550862">
        <w:trPr>
          <w:trHeight w:val="267"/>
        </w:trPr>
        <w:tc>
          <w:tcPr>
            <w:tcW w:w="2832" w:type="dxa"/>
            <w:tcBorders>
              <w:top w:val="nil"/>
              <w:left w:val="nil"/>
              <w:bottom w:val="nil"/>
              <w:right w:val="nil"/>
            </w:tcBorders>
          </w:tcPr>
          <w:p w:rsidR="00550862" w:rsidRDefault="00000000">
            <w:pPr>
              <w:tabs>
                <w:tab w:val="center" w:pos="1416"/>
                <w:tab w:val="center" w:pos="2121"/>
              </w:tabs>
              <w:spacing w:after="0" w:line="259" w:lineRule="auto"/>
              <w:ind w:left="0" w:firstLine="0"/>
              <w:jc w:val="left"/>
            </w:pPr>
            <w:r>
              <w:rPr>
                <w:b/>
              </w:rPr>
              <w:t>Relator:</w:t>
            </w:r>
            <w:r>
              <w:t xml:space="preserve"> </w:t>
            </w:r>
            <w:r>
              <w:tab/>
              <w:t xml:space="preserve"> </w:t>
            </w:r>
            <w:r>
              <w:tab/>
              <w:t xml:space="preserve"> </w:t>
            </w:r>
          </w:p>
        </w:tc>
        <w:tc>
          <w:tcPr>
            <w:tcW w:w="710" w:type="dxa"/>
            <w:tcBorders>
              <w:top w:val="nil"/>
              <w:left w:val="nil"/>
              <w:bottom w:val="nil"/>
              <w:right w:val="nil"/>
            </w:tcBorders>
          </w:tcPr>
          <w:p w:rsidR="00550862" w:rsidRDefault="00000000">
            <w:pPr>
              <w:spacing w:after="0" w:line="259" w:lineRule="auto"/>
              <w:ind w:left="0" w:firstLine="0"/>
              <w:jc w:val="left"/>
            </w:pPr>
            <w:r>
              <w:t xml:space="preserve"> </w:t>
            </w:r>
          </w:p>
        </w:tc>
        <w:tc>
          <w:tcPr>
            <w:tcW w:w="706" w:type="dxa"/>
            <w:tcBorders>
              <w:top w:val="nil"/>
              <w:left w:val="nil"/>
              <w:bottom w:val="nil"/>
              <w:right w:val="nil"/>
            </w:tcBorders>
          </w:tcPr>
          <w:p w:rsidR="00550862" w:rsidRDefault="00000000">
            <w:pPr>
              <w:spacing w:after="0" w:line="259" w:lineRule="auto"/>
              <w:ind w:left="0" w:firstLine="0"/>
              <w:jc w:val="left"/>
            </w:pPr>
            <w:r>
              <w:t xml:space="preserve"> </w:t>
            </w:r>
          </w:p>
        </w:tc>
        <w:tc>
          <w:tcPr>
            <w:tcW w:w="3966" w:type="dxa"/>
            <w:tcBorders>
              <w:top w:val="nil"/>
              <w:left w:val="nil"/>
              <w:bottom w:val="nil"/>
              <w:right w:val="nil"/>
            </w:tcBorders>
          </w:tcPr>
          <w:p w:rsidR="00550862" w:rsidRDefault="00000000">
            <w:pPr>
              <w:spacing w:after="0" w:line="259" w:lineRule="auto"/>
              <w:ind w:left="0" w:firstLine="0"/>
              <w:jc w:val="left"/>
            </w:pPr>
            <w:r>
              <w:rPr>
                <w:b/>
              </w:rPr>
              <w:t xml:space="preserve">Sessão: </w:t>
            </w:r>
          </w:p>
        </w:tc>
      </w:tr>
      <w:tr w:rsidR="00550862">
        <w:trPr>
          <w:trHeight w:val="293"/>
        </w:trPr>
        <w:tc>
          <w:tcPr>
            <w:tcW w:w="2832" w:type="dxa"/>
            <w:tcBorders>
              <w:top w:val="nil"/>
              <w:left w:val="nil"/>
              <w:bottom w:val="nil"/>
              <w:right w:val="nil"/>
            </w:tcBorders>
          </w:tcPr>
          <w:p w:rsidR="00550862" w:rsidRDefault="00000000">
            <w:pPr>
              <w:spacing w:after="0" w:line="259" w:lineRule="auto"/>
              <w:ind w:left="0" w:firstLine="0"/>
              <w:jc w:val="left"/>
            </w:pPr>
            <w:r>
              <w:rPr>
                <w:b/>
              </w:rPr>
              <w:t>Paulo Tadeu Vale Da Silva</w:t>
            </w:r>
            <w:r>
              <w:t xml:space="preserve"> </w:t>
            </w:r>
          </w:p>
        </w:tc>
        <w:tc>
          <w:tcPr>
            <w:tcW w:w="710" w:type="dxa"/>
            <w:tcBorders>
              <w:top w:val="nil"/>
              <w:left w:val="nil"/>
              <w:bottom w:val="nil"/>
              <w:right w:val="nil"/>
            </w:tcBorders>
          </w:tcPr>
          <w:p w:rsidR="00550862" w:rsidRDefault="00000000">
            <w:pPr>
              <w:spacing w:after="0" w:line="259" w:lineRule="auto"/>
              <w:ind w:left="0" w:firstLine="0"/>
              <w:jc w:val="left"/>
            </w:pPr>
            <w:r>
              <w:t xml:space="preserve"> </w:t>
            </w:r>
          </w:p>
        </w:tc>
        <w:tc>
          <w:tcPr>
            <w:tcW w:w="706" w:type="dxa"/>
            <w:tcBorders>
              <w:top w:val="nil"/>
              <w:left w:val="nil"/>
              <w:bottom w:val="nil"/>
              <w:right w:val="nil"/>
            </w:tcBorders>
          </w:tcPr>
          <w:p w:rsidR="00550862" w:rsidRDefault="00000000">
            <w:pPr>
              <w:spacing w:after="0" w:line="259" w:lineRule="auto"/>
              <w:ind w:left="0" w:firstLine="0"/>
              <w:jc w:val="left"/>
            </w:pPr>
            <w:r>
              <w:t xml:space="preserve"> </w:t>
            </w:r>
          </w:p>
        </w:tc>
        <w:tc>
          <w:tcPr>
            <w:tcW w:w="3966" w:type="dxa"/>
            <w:tcBorders>
              <w:top w:val="nil"/>
              <w:left w:val="nil"/>
              <w:bottom w:val="nil"/>
              <w:right w:val="nil"/>
            </w:tcBorders>
          </w:tcPr>
          <w:p w:rsidR="00550862" w:rsidRDefault="00000000">
            <w:pPr>
              <w:spacing w:after="0" w:line="259" w:lineRule="auto"/>
              <w:ind w:left="0" w:firstLine="0"/>
              <w:jc w:val="left"/>
            </w:pPr>
            <w:r>
              <w:rPr>
                <w:b/>
              </w:rPr>
              <w:t xml:space="preserve">ORDINÁRIA nº 5447, de 19/11/2025. </w:t>
            </w:r>
          </w:p>
        </w:tc>
      </w:tr>
      <w:tr w:rsidR="00550862">
        <w:trPr>
          <w:trHeight w:val="270"/>
        </w:trPr>
        <w:tc>
          <w:tcPr>
            <w:tcW w:w="2832" w:type="dxa"/>
            <w:tcBorders>
              <w:top w:val="nil"/>
              <w:left w:val="nil"/>
              <w:bottom w:val="nil"/>
              <w:right w:val="nil"/>
            </w:tcBorders>
          </w:tcPr>
          <w:p w:rsidR="00550862" w:rsidRDefault="00000000">
            <w:pPr>
              <w:spacing w:after="0" w:line="259" w:lineRule="auto"/>
              <w:ind w:left="0" w:firstLine="0"/>
              <w:jc w:val="left"/>
            </w:pPr>
            <w:r>
              <w:rPr>
                <w:b/>
              </w:rPr>
              <w:t>Decisão por unanimidade</w:t>
            </w:r>
            <w:r>
              <w:t xml:space="preserve"> </w:t>
            </w:r>
          </w:p>
        </w:tc>
        <w:tc>
          <w:tcPr>
            <w:tcW w:w="710" w:type="dxa"/>
            <w:tcBorders>
              <w:top w:val="nil"/>
              <w:left w:val="nil"/>
              <w:bottom w:val="nil"/>
              <w:right w:val="nil"/>
            </w:tcBorders>
          </w:tcPr>
          <w:p w:rsidR="00550862" w:rsidRDefault="00000000">
            <w:pPr>
              <w:spacing w:after="0" w:line="259" w:lineRule="auto"/>
              <w:ind w:left="0" w:firstLine="0"/>
              <w:jc w:val="left"/>
            </w:pPr>
            <w:r>
              <w:t xml:space="preserve"> </w:t>
            </w:r>
          </w:p>
        </w:tc>
        <w:tc>
          <w:tcPr>
            <w:tcW w:w="706" w:type="dxa"/>
            <w:tcBorders>
              <w:top w:val="nil"/>
              <w:left w:val="nil"/>
              <w:bottom w:val="nil"/>
              <w:right w:val="nil"/>
            </w:tcBorders>
          </w:tcPr>
          <w:p w:rsidR="00550862" w:rsidRDefault="00000000">
            <w:pPr>
              <w:spacing w:after="0" w:line="259" w:lineRule="auto"/>
              <w:ind w:left="0" w:firstLine="0"/>
              <w:jc w:val="left"/>
            </w:pPr>
            <w:r>
              <w:t xml:space="preserve"> </w:t>
            </w:r>
          </w:p>
        </w:tc>
        <w:tc>
          <w:tcPr>
            <w:tcW w:w="3966" w:type="dxa"/>
            <w:tcBorders>
              <w:top w:val="nil"/>
              <w:left w:val="nil"/>
              <w:bottom w:val="nil"/>
              <w:right w:val="nil"/>
            </w:tcBorders>
          </w:tcPr>
          <w:p w:rsidR="00550862" w:rsidRDefault="00000000">
            <w:pPr>
              <w:spacing w:after="0" w:line="259" w:lineRule="auto"/>
              <w:ind w:left="0" w:firstLine="0"/>
            </w:pPr>
            <w:r>
              <w:rPr>
                <w:color w:val="0563C1"/>
                <w:u w:val="single" w:color="0563C1"/>
              </w:rPr>
              <w:t>Proc. nº 8241/2025</w:t>
            </w:r>
            <w:r>
              <w:rPr>
                <w:color w:val="2A69C5"/>
                <w:u w:val="single" w:color="0563C1"/>
              </w:rPr>
              <w:t xml:space="preserve"> - </w:t>
            </w:r>
            <w:r>
              <w:rPr>
                <w:color w:val="0563C1"/>
                <w:u w:val="single" w:color="0563C1"/>
              </w:rPr>
              <w:t>Dec. nº 4637/2025</w:t>
            </w:r>
            <w:r>
              <w:rPr>
                <w:b/>
              </w:rPr>
              <w:t xml:space="preserve"> </w:t>
            </w:r>
          </w:p>
        </w:tc>
      </w:tr>
    </w:tbl>
    <w:p w:rsidR="00550862" w:rsidRDefault="00000000">
      <w:pPr>
        <w:spacing w:after="0" w:line="259" w:lineRule="auto"/>
        <w:ind w:firstLine="0"/>
        <w:jc w:val="left"/>
      </w:pPr>
      <w:r>
        <w:rPr>
          <w:b/>
        </w:rPr>
        <w:t xml:space="preserve"> </w:t>
      </w:r>
    </w:p>
    <w:p w:rsidR="00550862" w:rsidRDefault="00000000">
      <w:pPr>
        <w:spacing w:after="13" w:line="251" w:lineRule="auto"/>
        <w:ind w:left="705" w:hanging="10"/>
      </w:pPr>
      <w:r>
        <w:rPr>
          <w:b/>
        </w:rPr>
        <w:t xml:space="preserve">Legislação relacionada: </w:t>
      </w:r>
      <w:r>
        <w:t xml:space="preserve"> </w:t>
      </w:r>
    </w:p>
    <w:p w:rsidR="00550862" w:rsidRDefault="00000000">
      <w:pPr>
        <w:spacing w:after="5"/>
        <w:ind w:left="705" w:hanging="10"/>
        <w:jc w:val="left"/>
      </w:pPr>
      <w:r>
        <w:rPr>
          <w:rFonts w:ascii="Segoe UI" w:eastAsia="Segoe UI" w:hAnsi="Segoe UI" w:cs="Segoe UI"/>
          <w:color w:val="0563C1"/>
          <w:u w:val="single" w:color="0563C1"/>
        </w:rPr>
        <w:t>Resolução nº 807/2020.</w:t>
      </w:r>
      <w:r>
        <w:rPr>
          <w:rFonts w:ascii="Segoe UI" w:eastAsia="Segoe UI" w:hAnsi="Segoe UI" w:cs="Segoe UI"/>
        </w:rPr>
        <w:t xml:space="preserve"> </w:t>
      </w:r>
    </w:p>
    <w:p w:rsidR="00550862" w:rsidRDefault="00000000">
      <w:pPr>
        <w:spacing w:after="326" w:line="259" w:lineRule="auto"/>
        <w:ind w:left="700" w:firstLine="0"/>
        <w:jc w:val="left"/>
      </w:pPr>
      <w:r>
        <w:rPr>
          <w:rFonts w:ascii="Segoe UI" w:eastAsia="Segoe UI" w:hAnsi="Segoe UI" w:cs="Segoe UI"/>
        </w:rPr>
        <w:t xml:space="preserve"> </w:t>
      </w:r>
    </w:p>
    <w:p w:rsidR="00550862" w:rsidRDefault="00000000">
      <w:pPr>
        <w:numPr>
          <w:ilvl w:val="0"/>
          <w:numId w:val="2"/>
        </w:numPr>
        <w:spacing w:after="13" w:line="251" w:lineRule="auto"/>
        <w:ind w:hanging="1206"/>
      </w:pPr>
      <w:r>
        <w:rPr>
          <w:b/>
        </w:rPr>
        <w:lastRenderedPageBreak/>
        <w:t xml:space="preserve">LICITAÇÃO. PROCESSUAL. INSTITUTO DO CÂNCER INFANTIL E PEDIATRIA ESPECIALIZADA - </w:t>
      </w:r>
    </w:p>
    <w:p w:rsidR="00550862" w:rsidRDefault="00000000">
      <w:pPr>
        <w:spacing w:after="13" w:line="251" w:lineRule="auto"/>
        <w:ind w:left="705" w:hanging="10"/>
      </w:pPr>
      <w:r>
        <w:rPr>
          <w:b/>
        </w:rPr>
        <w:t xml:space="preserve">ICIPE. HOSPITAL DA CRIANÇA DE BRASÍLIA JOSÉ ALENCAR - HCB. REPRESENTAÇÃO. ORGANIZAÇÃO SOCIAL. CONTRATAÇÃO. LICENÇA. SOFTWARE. NLLC. INAPLICABILIDADE. PRINCÍPIO DA PUBLICIDADE. PRINCÍPIO DA ISONOMIA. PRINCÍPIO DA COMPETITIVIDADE. DIRECIONAMENTO. NÃO OCORRÊNCIA. DEMANDA. FUNDAMENTAÇÃO. OBJETO DO CONTRATO. ESPECIFICAÇÃO TÉCNICA. INTERESSE PÚBLICO. ANULAÇÃO. MODULAÇÃO DOS EFEITOS. POSSIBILIDADE. </w:t>
      </w:r>
    </w:p>
    <w:p w:rsidR="00550862" w:rsidRDefault="00000000">
      <w:pPr>
        <w:spacing w:after="0" w:line="259" w:lineRule="auto"/>
        <w:ind w:left="1416" w:firstLine="0"/>
        <w:jc w:val="left"/>
      </w:pPr>
      <w:r>
        <w:rPr>
          <w:b/>
        </w:rPr>
        <w:t xml:space="preserve"> </w:t>
      </w:r>
    </w:p>
    <w:p w:rsidR="00550862" w:rsidRDefault="00000000">
      <w:pPr>
        <w:numPr>
          <w:ilvl w:val="1"/>
          <w:numId w:val="2"/>
        </w:numPr>
        <w:ind w:right="5"/>
      </w:pPr>
      <w:r>
        <w:t xml:space="preserve">Apesar de não se aplicar às organizações sociais a legislação que rege as licitações e os contratos administrativos e os respectivos regulamentos, suas contratações com terceiros devem observar os princípios da Administração Pública, notadamente os da publicidade, da isonomia e da competitividade. </w:t>
      </w:r>
    </w:p>
    <w:p w:rsidR="00550862" w:rsidRDefault="00000000">
      <w:pPr>
        <w:spacing w:after="0" w:line="259" w:lineRule="auto"/>
        <w:ind w:left="1416" w:firstLine="0"/>
        <w:jc w:val="left"/>
      </w:pPr>
      <w:r>
        <w:t xml:space="preserve"> </w:t>
      </w:r>
    </w:p>
    <w:p w:rsidR="00550862" w:rsidRDefault="00000000">
      <w:pPr>
        <w:numPr>
          <w:ilvl w:val="1"/>
          <w:numId w:val="2"/>
        </w:numPr>
        <w:ind w:right="5"/>
      </w:pPr>
      <w:r>
        <w:t xml:space="preserve">É dever da organização social, em seus procedimentos de contratação com terceiros, evidenciar a efetiva demanda e definir o objeto de modo a satisfazê-la, abstendo-se de incluir especificações superiores ou desnecessárias para o atendimento do interesse público. </w:t>
      </w:r>
    </w:p>
    <w:p w:rsidR="00550862" w:rsidRDefault="00000000">
      <w:pPr>
        <w:spacing w:after="0" w:line="259" w:lineRule="auto"/>
        <w:ind w:left="1416" w:firstLine="0"/>
        <w:jc w:val="left"/>
      </w:pPr>
      <w:r>
        <w:t xml:space="preserve"> </w:t>
      </w:r>
    </w:p>
    <w:p w:rsidR="00550862" w:rsidRDefault="00000000">
      <w:pPr>
        <w:numPr>
          <w:ilvl w:val="1"/>
          <w:numId w:val="2"/>
        </w:numPr>
        <w:ind w:right="5"/>
      </w:pPr>
      <w:r>
        <w:t xml:space="preserve">Os procedimentos de contratação de terceiros por organizações sociais devem ser realizados em plataformas ou portais que assegurem livre, direto e completo acesso a todas as informações necessárias à participação nos certames. </w:t>
      </w:r>
    </w:p>
    <w:p w:rsidR="00550862" w:rsidRDefault="00000000">
      <w:pPr>
        <w:spacing w:after="0" w:line="259" w:lineRule="auto"/>
        <w:ind w:left="1416" w:firstLine="0"/>
        <w:jc w:val="left"/>
      </w:pPr>
      <w:r>
        <w:t xml:space="preserve"> </w:t>
      </w:r>
    </w:p>
    <w:p w:rsidR="00550862" w:rsidRDefault="00000000">
      <w:pPr>
        <w:numPr>
          <w:ilvl w:val="1"/>
          <w:numId w:val="2"/>
        </w:numPr>
        <w:ind w:right="5"/>
      </w:pPr>
      <w:r>
        <w:t xml:space="preserve">Para configuração de direcionamento do procedimento de contratação, deve ser evidenciado, de forma direta ou mediante indícios robustos e convergentes, o desiderato de falseamento da disputa para se contratar determinado particular ou objeto previamente definido. </w:t>
      </w:r>
    </w:p>
    <w:p w:rsidR="00550862" w:rsidRDefault="00000000">
      <w:pPr>
        <w:spacing w:after="0" w:line="259" w:lineRule="auto"/>
        <w:ind w:left="1416" w:firstLine="0"/>
        <w:jc w:val="left"/>
      </w:pPr>
      <w:r>
        <w:t xml:space="preserve"> </w:t>
      </w:r>
    </w:p>
    <w:p w:rsidR="00550862" w:rsidRDefault="00000000">
      <w:pPr>
        <w:numPr>
          <w:ilvl w:val="1"/>
          <w:numId w:val="2"/>
        </w:numPr>
        <w:ind w:right="5"/>
      </w:pPr>
      <w:r>
        <w:t xml:space="preserve">A impossibilidade de anulação imediata do contrato vigente sem grave prejuízo à prestação de serviços essenciais autoriza a modulação dos efeitos da decisão que reconhece vícios insanáveis no processo de contratação, com a definição de prazo suficiente para realização de novo procedimento seletivo e invalidação do negócio jurídico (Decreto-Lei nº 4.657/1942 - LINDB, art. 21, caput e parágrafo único). </w:t>
      </w:r>
    </w:p>
    <w:p w:rsidR="00550862" w:rsidRDefault="00000000">
      <w:pPr>
        <w:spacing w:after="0" w:line="259" w:lineRule="auto"/>
        <w:ind w:left="1416" w:firstLine="0"/>
        <w:jc w:val="left"/>
      </w:pPr>
      <w:r>
        <w:t xml:space="preserve"> </w:t>
      </w:r>
    </w:p>
    <w:tbl>
      <w:tblPr>
        <w:tblStyle w:val="TableGrid"/>
        <w:tblW w:w="8093" w:type="dxa"/>
        <w:tblInd w:w="710" w:type="dxa"/>
        <w:tblCellMar>
          <w:top w:w="0" w:type="dxa"/>
          <w:left w:w="0" w:type="dxa"/>
          <w:bottom w:w="0" w:type="dxa"/>
          <w:right w:w="0" w:type="dxa"/>
        </w:tblCellMar>
        <w:tblLook w:val="04A0" w:firstRow="1" w:lastRow="0" w:firstColumn="1" w:lastColumn="0" w:noHBand="0" w:noVBand="1"/>
      </w:tblPr>
      <w:tblGrid>
        <w:gridCol w:w="3541"/>
        <w:gridCol w:w="706"/>
        <w:gridCol w:w="3846"/>
      </w:tblGrid>
      <w:tr w:rsidR="00550862">
        <w:trPr>
          <w:trHeight w:val="270"/>
        </w:trPr>
        <w:tc>
          <w:tcPr>
            <w:tcW w:w="3542" w:type="dxa"/>
            <w:tcBorders>
              <w:top w:val="nil"/>
              <w:left w:val="nil"/>
              <w:bottom w:val="nil"/>
              <w:right w:val="nil"/>
            </w:tcBorders>
          </w:tcPr>
          <w:p w:rsidR="00550862" w:rsidRDefault="00000000">
            <w:pPr>
              <w:tabs>
                <w:tab w:val="center" w:pos="1416"/>
                <w:tab w:val="center" w:pos="2121"/>
                <w:tab w:val="center" w:pos="2832"/>
              </w:tabs>
              <w:spacing w:after="0" w:line="259" w:lineRule="auto"/>
              <w:ind w:left="0" w:firstLine="0"/>
              <w:jc w:val="left"/>
            </w:pPr>
            <w:r>
              <w:rPr>
                <w:b/>
              </w:rPr>
              <w:t>Relator:</w:t>
            </w:r>
            <w:r>
              <w:t xml:space="preserve"> </w:t>
            </w:r>
            <w:r>
              <w:tab/>
              <w:t xml:space="preserve"> </w:t>
            </w:r>
            <w:r>
              <w:tab/>
              <w:t xml:space="preserve"> </w:t>
            </w:r>
            <w:r>
              <w:tab/>
              <w:t xml:space="preserve"> </w:t>
            </w:r>
          </w:p>
        </w:tc>
        <w:tc>
          <w:tcPr>
            <w:tcW w:w="706" w:type="dxa"/>
            <w:tcBorders>
              <w:top w:val="nil"/>
              <w:left w:val="nil"/>
              <w:bottom w:val="nil"/>
              <w:right w:val="nil"/>
            </w:tcBorders>
          </w:tcPr>
          <w:p w:rsidR="00550862" w:rsidRDefault="00000000">
            <w:pPr>
              <w:spacing w:after="0" w:line="259" w:lineRule="auto"/>
              <w:ind w:left="0" w:firstLine="0"/>
              <w:jc w:val="left"/>
            </w:pPr>
            <w:r>
              <w:t xml:space="preserve"> </w:t>
            </w:r>
          </w:p>
        </w:tc>
        <w:tc>
          <w:tcPr>
            <w:tcW w:w="3846" w:type="dxa"/>
            <w:tcBorders>
              <w:top w:val="nil"/>
              <w:left w:val="nil"/>
              <w:bottom w:val="nil"/>
              <w:right w:val="nil"/>
            </w:tcBorders>
          </w:tcPr>
          <w:p w:rsidR="00550862" w:rsidRDefault="00000000">
            <w:pPr>
              <w:spacing w:after="0" w:line="259" w:lineRule="auto"/>
              <w:ind w:left="0" w:firstLine="0"/>
              <w:jc w:val="left"/>
            </w:pPr>
            <w:r>
              <w:rPr>
                <w:b/>
              </w:rPr>
              <w:t xml:space="preserve">Sessão: </w:t>
            </w:r>
          </w:p>
        </w:tc>
      </w:tr>
      <w:tr w:rsidR="00550862">
        <w:trPr>
          <w:trHeight w:val="293"/>
        </w:trPr>
        <w:tc>
          <w:tcPr>
            <w:tcW w:w="3542" w:type="dxa"/>
            <w:tcBorders>
              <w:top w:val="nil"/>
              <w:left w:val="nil"/>
              <w:bottom w:val="nil"/>
              <w:right w:val="nil"/>
            </w:tcBorders>
          </w:tcPr>
          <w:p w:rsidR="00550862" w:rsidRDefault="00000000">
            <w:pPr>
              <w:spacing w:after="0" w:line="259" w:lineRule="auto"/>
              <w:ind w:left="0" w:firstLine="0"/>
              <w:jc w:val="left"/>
            </w:pPr>
            <w:r>
              <w:rPr>
                <w:b/>
              </w:rPr>
              <w:t>Antonio Renato Alves Rainha</w:t>
            </w:r>
            <w:r>
              <w:t xml:space="preserve"> </w:t>
            </w:r>
          </w:p>
        </w:tc>
        <w:tc>
          <w:tcPr>
            <w:tcW w:w="706" w:type="dxa"/>
            <w:tcBorders>
              <w:top w:val="nil"/>
              <w:left w:val="nil"/>
              <w:bottom w:val="nil"/>
              <w:right w:val="nil"/>
            </w:tcBorders>
          </w:tcPr>
          <w:p w:rsidR="00550862" w:rsidRDefault="00000000">
            <w:pPr>
              <w:spacing w:after="0" w:line="259" w:lineRule="auto"/>
              <w:ind w:left="0" w:firstLine="0"/>
              <w:jc w:val="left"/>
            </w:pPr>
            <w:r>
              <w:t xml:space="preserve"> </w:t>
            </w:r>
          </w:p>
        </w:tc>
        <w:tc>
          <w:tcPr>
            <w:tcW w:w="3846" w:type="dxa"/>
            <w:tcBorders>
              <w:top w:val="nil"/>
              <w:left w:val="nil"/>
              <w:bottom w:val="nil"/>
              <w:right w:val="nil"/>
            </w:tcBorders>
          </w:tcPr>
          <w:p w:rsidR="00550862" w:rsidRDefault="00000000">
            <w:pPr>
              <w:spacing w:after="0" w:line="259" w:lineRule="auto"/>
              <w:ind w:left="0" w:firstLine="0"/>
            </w:pPr>
            <w:r>
              <w:rPr>
                <w:b/>
              </w:rPr>
              <w:t xml:space="preserve">ORDINÁRIA nº 5448, de 26/11/2025.   </w:t>
            </w:r>
          </w:p>
        </w:tc>
      </w:tr>
      <w:tr w:rsidR="00550862">
        <w:trPr>
          <w:trHeight w:val="267"/>
        </w:trPr>
        <w:tc>
          <w:tcPr>
            <w:tcW w:w="3542" w:type="dxa"/>
            <w:tcBorders>
              <w:top w:val="nil"/>
              <w:left w:val="nil"/>
              <w:bottom w:val="nil"/>
              <w:right w:val="nil"/>
            </w:tcBorders>
          </w:tcPr>
          <w:p w:rsidR="00550862" w:rsidRDefault="00000000">
            <w:pPr>
              <w:tabs>
                <w:tab w:val="center" w:pos="2832"/>
              </w:tabs>
              <w:spacing w:after="0" w:line="259" w:lineRule="auto"/>
              <w:ind w:left="0" w:firstLine="0"/>
              <w:jc w:val="left"/>
            </w:pPr>
            <w:r>
              <w:rPr>
                <w:b/>
              </w:rPr>
              <w:t>Decisão por maioria</w:t>
            </w:r>
            <w:r>
              <w:t xml:space="preserve">  </w:t>
            </w:r>
            <w:r>
              <w:tab/>
              <w:t xml:space="preserve"> </w:t>
            </w:r>
          </w:p>
        </w:tc>
        <w:tc>
          <w:tcPr>
            <w:tcW w:w="706" w:type="dxa"/>
            <w:tcBorders>
              <w:top w:val="nil"/>
              <w:left w:val="nil"/>
              <w:bottom w:val="nil"/>
              <w:right w:val="nil"/>
            </w:tcBorders>
          </w:tcPr>
          <w:p w:rsidR="00550862" w:rsidRDefault="00000000">
            <w:pPr>
              <w:spacing w:after="0" w:line="259" w:lineRule="auto"/>
              <w:ind w:left="0" w:firstLine="0"/>
              <w:jc w:val="left"/>
            </w:pPr>
            <w:r>
              <w:t xml:space="preserve"> </w:t>
            </w:r>
          </w:p>
        </w:tc>
        <w:tc>
          <w:tcPr>
            <w:tcW w:w="3846" w:type="dxa"/>
            <w:tcBorders>
              <w:top w:val="nil"/>
              <w:left w:val="nil"/>
              <w:bottom w:val="nil"/>
              <w:right w:val="nil"/>
            </w:tcBorders>
          </w:tcPr>
          <w:p w:rsidR="00550862" w:rsidRDefault="00000000">
            <w:pPr>
              <w:spacing w:after="0" w:line="259" w:lineRule="auto"/>
              <w:ind w:left="0" w:firstLine="0"/>
            </w:pPr>
            <w:r>
              <w:rPr>
                <w:color w:val="0563C1"/>
                <w:u w:val="single" w:color="0563C1"/>
              </w:rPr>
              <w:t>Proc. nº 497/2025</w:t>
            </w:r>
            <w:r>
              <w:rPr>
                <w:color w:val="2A69C5"/>
                <w:u w:val="single" w:color="0563C1"/>
              </w:rPr>
              <w:t xml:space="preserve"> - </w:t>
            </w:r>
            <w:r>
              <w:rPr>
                <w:color w:val="0563C1"/>
                <w:u w:val="single" w:color="0563C1"/>
              </w:rPr>
              <w:t>Dec. nº 4671/2025</w:t>
            </w:r>
            <w:r>
              <w:t xml:space="preserve"> </w:t>
            </w:r>
          </w:p>
        </w:tc>
      </w:tr>
    </w:tbl>
    <w:p w:rsidR="00550862" w:rsidRDefault="00000000">
      <w:pPr>
        <w:spacing w:after="0" w:line="259" w:lineRule="auto"/>
        <w:ind w:firstLine="0"/>
        <w:jc w:val="left"/>
      </w:pPr>
      <w:r>
        <w:rPr>
          <w:b/>
        </w:rPr>
        <w:t xml:space="preserve"> </w:t>
      </w:r>
    </w:p>
    <w:p w:rsidR="00550862" w:rsidRDefault="00000000">
      <w:pPr>
        <w:spacing w:after="13" w:line="251" w:lineRule="auto"/>
        <w:ind w:left="705" w:hanging="10"/>
      </w:pPr>
      <w:r>
        <w:rPr>
          <w:b/>
        </w:rPr>
        <w:t>Precedentes externos:</w:t>
      </w:r>
      <w:r>
        <w:t xml:space="preserve"> </w:t>
      </w:r>
    </w:p>
    <w:p w:rsidR="00550862" w:rsidRDefault="00000000">
      <w:pPr>
        <w:spacing w:after="5"/>
        <w:ind w:left="705" w:hanging="10"/>
        <w:jc w:val="left"/>
      </w:pPr>
      <w:r>
        <w:rPr>
          <w:rFonts w:ascii="Segoe UI" w:eastAsia="Segoe UI" w:hAnsi="Segoe UI" w:cs="Segoe UI"/>
          <w:color w:val="0563C1"/>
          <w:u w:val="single" w:color="0563C1"/>
        </w:rPr>
        <w:t>STF: ADI 1.923 DF.</w:t>
      </w:r>
      <w:r>
        <w:rPr>
          <w:rFonts w:ascii="Segoe UI" w:eastAsia="Segoe UI" w:hAnsi="Segoe UI" w:cs="Segoe UI"/>
        </w:rPr>
        <w:t xml:space="preserve"> </w:t>
      </w:r>
    </w:p>
    <w:p w:rsidR="00550862" w:rsidRDefault="00000000">
      <w:pPr>
        <w:spacing w:after="0" w:line="259" w:lineRule="auto"/>
        <w:ind w:firstLine="0"/>
        <w:jc w:val="left"/>
      </w:pPr>
      <w:r>
        <w:rPr>
          <w:b/>
        </w:rPr>
        <w:t xml:space="preserve"> </w:t>
      </w:r>
    </w:p>
    <w:p w:rsidR="00550862" w:rsidRDefault="00000000">
      <w:pPr>
        <w:spacing w:after="13" w:line="251" w:lineRule="auto"/>
        <w:ind w:left="705" w:hanging="10"/>
      </w:pPr>
      <w:r>
        <w:rPr>
          <w:b/>
        </w:rPr>
        <w:t xml:space="preserve">Legislação relacionada: </w:t>
      </w:r>
      <w:r>
        <w:t xml:space="preserve"> </w:t>
      </w:r>
    </w:p>
    <w:p w:rsidR="00550862" w:rsidRDefault="00000000">
      <w:pPr>
        <w:spacing w:after="5"/>
        <w:ind w:left="705" w:right="5362" w:hanging="10"/>
        <w:jc w:val="left"/>
      </w:pPr>
      <w:r>
        <w:rPr>
          <w:rFonts w:ascii="Segoe UI" w:eastAsia="Segoe UI" w:hAnsi="Segoe UI" w:cs="Segoe UI"/>
          <w:color w:val="0563C1"/>
          <w:u w:val="single" w:color="0563C1"/>
        </w:rPr>
        <w:lastRenderedPageBreak/>
        <w:t>Lei nº 14.133/2021, Art. 175, § 1º.</w:t>
      </w:r>
      <w:r>
        <w:rPr>
          <w:rFonts w:ascii="Segoe UI" w:eastAsia="Segoe UI" w:hAnsi="Segoe UI" w:cs="Segoe UI"/>
        </w:rPr>
        <w:t xml:space="preserve"> </w:t>
      </w:r>
      <w:r>
        <w:rPr>
          <w:rFonts w:ascii="Segoe UI" w:eastAsia="Segoe UI" w:hAnsi="Segoe UI" w:cs="Segoe UI"/>
          <w:color w:val="0563C1"/>
          <w:u w:val="single" w:color="0563C1"/>
        </w:rPr>
        <w:t>Instrução Normativa nº 73/2022.</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Instrução Normativa nº 94/2022</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Decreto-lei nº 4657/1942 - LINDB, Art. 22, § 1º.</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Decreto-lei nº 4657/1942 - LINDB, Art. 21, parágrafo único.</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Lei Complementar nº 1/1994, Art. 57, IV.</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Lei Complementar nº 1/1994, Art. 57, § 1º.</w:t>
      </w:r>
      <w:r>
        <w:rPr>
          <w:rFonts w:ascii="Segoe UI" w:eastAsia="Segoe UI" w:hAnsi="Segoe UI" w:cs="Segoe UI"/>
        </w:rPr>
        <w:t xml:space="preserve"> </w:t>
      </w:r>
    </w:p>
    <w:p w:rsidR="00550862" w:rsidRDefault="00000000">
      <w:pPr>
        <w:spacing w:after="0" w:line="259" w:lineRule="auto"/>
        <w:ind w:left="700" w:firstLine="0"/>
        <w:jc w:val="left"/>
      </w:pPr>
      <w:r>
        <w:rPr>
          <w:rFonts w:ascii="Segoe UI" w:eastAsia="Segoe UI" w:hAnsi="Segoe UI" w:cs="Segoe UI"/>
        </w:rPr>
        <w:t xml:space="preserve"> </w:t>
      </w:r>
    </w:p>
    <w:p w:rsidR="00550862" w:rsidRDefault="00000000">
      <w:pPr>
        <w:numPr>
          <w:ilvl w:val="0"/>
          <w:numId w:val="2"/>
        </w:numPr>
        <w:spacing w:after="13" w:line="251" w:lineRule="auto"/>
        <w:ind w:hanging="1206"/>
      </w:pPr>
      <w:r>
        <w:rPr>
          <w:b/>
        </w:rPr>
        <w:t xml:space="preserve">LICITAÇÃO. TRIBUNAL DE CONTAS DO DISTRITO FEDERAL. CONCORRÊNCIA. EMPRESA </w:t>
      </w:r>
    </w:p>
    <w:p w:rsidR="00550862" w:rsidRDefault="00000000">
      <w:pPr>
        <w:spacing w:after="13" w:line="251" w:lineRule="auto"/>
        <w:ind w:left="705" w:hanging="10"/>
      </w:pPr>
      <w:r>
        <w:rPr>
          <w:b/>
        </w:rPr>
        <w:t xml:space="preserve">ESPECIALIZADA EM ENGENHARIA E/OU ARQUITETURA. ELABORAÇÃO DE PROJETO BÁSICO E EXECUTIVO. REFORMA. EDIFÍCIO DA ESCOLA DE CONTAS DO TRIBUNAL DE CONTAS DO DISTRITO FEDERAL. ACRÉSCIMO DE ÁREA CONSTRUÍDA. CONFORMIDADE DO EDITAL. DETERMINAÇÃO. CONTINUIDADE DO CERTAME. ARQUIVAMENTO. </w:t>
      </w:r>
    </w:p>
    <w:p w:rsidR="00550862" w:rsidRDefault="00000000">
      <w:pPr>
        <w:spacing w:after="0" w:line="259" w:lineRule="auto"/>
        <w:ind w:left="1416" w:firstLine="0"/>
        <w:jc w:val="left"/>
      </w:pPr>
      <w:r>
        <w:t xml:space="preserve"> </w:t>
      </w:r>
    </w:p>
    <w:p w:rsidR="00550862" w:rsidRDefault="00000000">
      <w:pPr>
        <w:numPr>
          <w:ilvl w:val="2"/>
          <w:numId w:val="3"/>
        </w:numPr>
        <w:ind w:right="5"/>
      </w:pPr>
      <w:r>
        <w:t xml:space="preserve">Sendo a falha formal passível de correção e sem impacto impeditivo ao andamento da licitação, pode o Tribunal determinar ao órgão jurisdicionado a adoção de medida saneadora, garantindo regularidade e continuidade do certame. </w:t>
      </w:r>
    </w:p>
    <w:p w:rsidR="00550862" w:rsidRDefault="00000000">
      <w:pPr>
        <w:spacing w:after="0" w:line="259" w:lineRule="auto"/>
        <w:ind w:left="1416" w:firstLine="0"/>
        <w:jc w:val="left"/>
      </w:pPr>
      <w:r>
        <w:t xml:space="preserve"> </w:t>
      </w:r>
    </w:p>
    <w:p w:rsidR="00550862" w:rsidRDefault="00000000">
      <w:pPr>
        <w:numPr>
          <w:ilvl w:val="2"/>
          <w:numId w:val="3"/>
        </w:numPr>
        <w:ind w:right="5"/>
      </w:pPr>
      <w:r>
        <w:t xml:space="preserve">A adequação do edital para explicitar condicionantes, instrumentos de medição e critérios de pagamento vinculados a metas de resultado fortalece a segurança jurídica e aumenta a efetividade do controle pela Administração e pelo órgão de fiscalização. </w:t>
      </w:r>
    </w:p>
    <w:p w:rsidR="00550862" w:rsidRDefault="00000000">
      <w:pPr>
        <w:spacing w:after="0" w:line="259" w:lineRule="auto"/>
        <w:ind w:left="1416" w:firstLine="0"/>
        <w:jc w:val="left"/>
      </w:pPr>
      <w:r>
        <w:t xml:space="preserve"> </w:t>
      </w:r>
    </w:p>
    <w:p w:rsidR="00550862" w:rsidRDefault="00000000">
      <w:pPr>
        <w:numPr>
          <w:ilvl w:val="2"/>
          <w:numId w:val="3"/>
        </w:numPr>
        <w:ind w:right="5"/>
      </w:pPr>
      <w:r>
        <w:t xml:space="preserve">Em regime de contratação integrada, as medições e pagamentos devem estar vinculados ao atingimento de metas de resultado, sendo vedada a remuneração por preços unitários ou execução de quantidades, nos termos do art. 46, § 9º, da Lei 14.133/2021.; </w:t>
      </w:r>
    </w:p>
    <w:p w:rsidR="00550862" w:rsidRDefault="00000000">
      <w:pPr>
        <w:spacing w:after="0" w:line="259" w:lineRule="auto"/>
        <w:ind w:left="1416" w:firstLine="0"/>
        <w:jc w:val="left"/>
      </w:pPr>
      <w:r>
        <w:t xml:space="preserve"> </w:t>
      </w:r>
    </w:p>
    <w:p w:rsidR="00550862" w:rsidRDefault="00000000">
      <w:pPr>
        <w:tabs>
          <w:tab w:val="center" w:pos="1110"/>
          <w:tab w:val="center" w:pos="2126"/>
          <w:tab w:val="center" w:pos="2831"/>
          <w:tab w:val="center" w:pos="3542"/>
          <w:tab w:val="center" w:pos="4252"/>
          <w:tab w:val="center" w:pos="5327"/>
        </w:tabs>
        <w:spacing w:after="13" w:line="251" w:lineRule="auto"/>
        <w:ind w:left="0" w:firstLine="0"/>
        <w:jc w:val="left"/>
      </w:pPr>
      <w:r>
        <w:rPr>
          <w:sz w:val="22"/>
        </w:rPr>
        <w:tab/>
      </w:r>
      <w:r>
        <w:rPr>
          <w:b/>
        </w:rPr>
        <w:t>Relator:</w:t>
      </w:r>
      <w:r>
        <w:t xml:space="preserve"> </w:t>
      </w:r>
      <w:r>
        <w:tab/>
        <w:t xml:space="preserve"> </w:t>
      </w:r>
      <w:r>
        <w:tab/>
        <w:t xml:space="preserve"> </w:t>
      </w:r>
      <w:r>
        <w:tab/>
        <w:t xml:space="preserve"> </w:t>
      </w:r>
      <w:r>
        <w:tab/>
        <w:t xml:space="preserve"> </w:t>
      </w:r>
      <w:r>
        <w:tab/>
      </w:r>
      <w:r>
        <w:rPr>
          <w:b/>
        </w:rPr>
        <w:t xml:space="preserve">Sessão: </w:t>
      </w:r>
    </w:p>
    <w:p w:rsidR="00550862" w:rsidRDefault="00000000">
      <w:pPr>
        <w:tabs>
          <w:tab w:val="center" w:pos="2328"/>
          <w:tab w:val="center" w:pos="4252"/>
          <w:tab w:val="center" w:pos="6782"/>
        </w:tabs>
        <w:spacing w:after="13" w:line="251" w:lineRule="auto"/>
        <w:ind w:left="0" w:firstLine="0"/>
        <w:jc w:val="left"/>
      </w:pPr>
      <w:r>
        <w:rPr>
          <w:sz w:val="22"/>
        </w:rPr>
        <w:tab/>
      </w:r>
      <w:r>
        <w:rPr>
          <w:b/>
        </w:rPr>
        <w:t>André Clemente Lara de Oliveira</w:t>
      </w:r>
      <w:r>
        <w:t xml:space="preserve"> </w:t>
      </w:r>
      <w:r>
        <w:tab/>
        <w:t xml:space="preserve"> </w:t>
      </w:r>
      <w:r>
        <w:tab/>
      </w:r>
      <w:r>
        <w:rPr>
          <w:b/>
        </w:rPr>
        <w:t xml:space="preserve">ORDINÁRIA nº 5449, de 10/12/2025. </w:t>
      </w:r>
    </w:p>
    <w:p w:rsidR="00550862" w:rsidRDefault="00000000">
      <w:pPr>
        <w:pStyle w:val="Ttulo2"/>
        <w:tabs>
          <w:tab w:val="center" w:pos="1982"/>
          <w:tab w:val="center" w:pos="3542"/>
          <w:tab w:val="center" w:pos="4252"/>
          <w:tab w:val="center" w:pos="6973"/>
        </w:tabs>
        <w:ind w:left="0" w:firstLine="0"/>
      </w:pPr>
      <w:r>
        <w:rPr>
          <w:color w:val="000000"/>
          <w:sz w:val="22"/>
          <w:u w:val="none" w:color="000000"/>
        </w:rPr>
        <w:tab/>
      </w:r>
      <w:r>
        <w:rPr>
          <w:b/>
          <w:color w:val="000000"/>
          <w:u w:val="none" w:color="000000"/>
        </w:rPr>
        <w:t>Decisão por unanimidade</w:t>
      </w:r>
      <w:r>
        <w:rPr>
          <w:color w:val="000000"/>
          <w:u w:val="none" w:color="000000"/>
        </w:rPr>
        <w:t xml:space="preserve"> </w:t>
      </w:r>
      <w:r>
        <w:rPr>
          <w:color w:val="000000"/>
          <w:u w:val="none" w:color="000000"/>
        </w:rPr>
        <w:tab/>
        <w:t xml:space="preserve"> </w:t>
      </w:r>
      <w:r>
        <w:rPr>
          <w:color w:val="000000"/>
          <w:u w:val="none" w:color="000000"/>
        </w:rPr>
        <w:tab/>
        <w:t xml:space="preserve"> </w:t>
      </w:r>
      <w:r>
        <w:rPr>
          <w:color w:val="000000"/>
          <w:u w:val="none" w:color="000000"/>
        </w:rPr>
        <w:tab/>
      </w:r>
      <w:r>
        <w:t>Proc. nº 11155/2025</w:t>
      </w:r>
      <w:r>
        <w:rPr>
          <w:color w:val="2A69C5"/>
        </w:rPr>
        <w:t xml:space="preserve"> - </w:t>
      </w:r>
      <w:r>
        <w:t>Dec. nº 4926/2025</w:t>
      </w:r>
      <w:r>
        <w:rPr>
          <w:color w:val="000000"/>
          <w:u w:val="none" w:color="000000"/>
        </w:rPr>
        <w:t xml:space="preserve"> </w:t>
      </w:r>
    </w:p>
    <w:p w:rsidR="00550862" w:rsidRDefault="00000000">
      <w:pPr>
        <w:spacing w:after="0" w:line="259" w:lineRule="auto"/>
        <w:ind w:firstLine="0"/>
        <w:jc w:val="left"/>
      </w:pPr>
      <w:r>
        <w:t xml:space="preserve"> </w:t>
      </w:r>
    </w:p>
    <w:p w:rsidR="00550862" w:rsidRDefault="00000000">
      <w:pPr>
        <w:spacing w:after="99"/>
        <w:ind w:left="705" w:right="6530" w:hanging="10"/>
        <w:jc w:val="left"/>
      </w:pPr>
      <w:r>
        <w:rPr>
          <w:b/>
        </w:rPr>
        <w:t xml:space="preserve">Legislação relacionada: </w:t>
      </w:r>
      <w:r>
        <w:t xml:space="preserve"> </w:t>
      </w:r>
      <w:r>
        <w:rPr>
          <w:rFonts w:ascii="Segoe UI" w:eastAsia="Segoe UI" w:hAnsi="Segoe UI" w:cs="Segoe UI"/>
          <w:color w:val="0563C1"/>
          <w:u w:val="single" w:color="0563C1"/>
        </w:rPr>
        <w:t>Lei nº 14.133/2021, Art. 46, § 9º.</w:t>
      </w:r>
      <w:r>
        <w:rPr>
          <w:rFonts w:ascii="Segoe UI" w:eastAsia="Segoe UI" w:hAnsi="Segoe UI" w:cs="Segoe UI"/>
        </w:rPr>
        <w:t xml:space="preserve"> </w:t>
      </w:r>
    </w:p>
    <w:p w:rsidR="00550862" w:rsidRDefault="00000000">
      <w:pPr>
        <w:spacing w:after="0" w:line="259" w:lineRule="auto"/>
        <w:ind w:left="700" w:firstLine="0"/>
        <w:jc w:val="left"/>
      </w:pPr>
      <w:r>
        <w:rPr>
          <w:b/>
          <w:color w:val="6EABBF"/>
          <w:sz w:val="32"/>
        </w:rPr>
        <w:t xml:space="preserve"> </w:t>
      </w:r>
    </w:p>
    <w:p w:rsidR="00550862" w:rsidRDefault="00000000">
      <w:pPr>
        <w:spacing w:after="83" w:line="259" w:lineRule="auto"/>
        <w:ind w:left="700" w:firstLine="0"/>
        <w:jc w:val="left"/>
      </w:pPr>
      <w:r>
        <w:rPr>
          <w:rFonts w:ascii="Segoe UI" w:eastAsia="Segoe UI" w:hAnsi="Segoe UI" w:cs="Segoe UI"/>
        </w:rPr>
        <w:t xml:space="preserve"> </w:t>
      </w:r>
    </w:p>
    <w:p w:rsidR="00550862" w:rsidRDefault="00000000">
      <w:pPr>
        <w:pStyle w:val="Ttulo2"/>
        <w:spacing w:after="620"/>
        <w:ind w:left="0" w:firstLine="0"/>
      </w:pPr>
      <w:r>
        <w:rPr>
          <w:b/>
          <w:color w:val="6EABBF"/>
          <w:sz w:val="32"/>
          <w:u w:val="none" w:color="000000"/>
        </w:rPr>
        <w:t xml:space="preserve">Contas (novembro a dezembro/2025) </w:t>
      </w:r>
    </w:p>
    <w:p w:rsidR="00550862" w:rsidRDefault="00000000">
      <w:pPr>
        <w:tabs>
          <w:tab w:val="right" w:pos="10594"/>
        </w:tabs>
        <w:spacing w:after="13" w:line="251" w:lineRule="auto"/>
        <w:ind w:left="0" w:firstLine="0"/>
        <w:jc w:val="left"/>
      </w:pPr>
      <w:r>
        <w:rPr>
          <w:b/>
          <w:color w:val="4A8FA1"/>
          <w:sz w:val="40"/>
        </w:rPr>
        <w:t>1</w:t>
      </w:r>
      <w:r>
        <w:rPr>
          <w:color w:val="004364"/>
          <w:sz w:val="40"/>
        </w:rPr>
        <w:t xml:space="preserve">  </w:t>
      </w:r>
      <w:r>
        <w:t xml:space="preserve">  </w:t>
      </w:r>
      <w:r>
        <w:tab/>
      </w:r>
      <w:r>
        <w:rPr>
          <w:b/>
        </w:rPr>
        <w:t xml:space="preserve">CONTAS. SECRETARIA DE ESTADO DE CULTURA E ECONOMIA CRIATIVA DO DISTRITO </w:t>
      </w:r>
    </w:p>
    <w:p w:rsidR="00550862" w:rsidRDefault="00000000">
      <w:pPr>
        <w:spacing w:after="13" w:line="251" w:lineRule="auto"/>
        <w:ind w:left="705" w:hanging="10"/>
      </w:pPr>
      <w:r>
        <w:rPr>
          <w:b/>
        </w:rPr>
        <w:t xml:space="preserve">FEDERAL. SECEC. TOMADA DE CONTAS ESPECIAL. ELEMENTOS ADICIONAIS DE DEFESA. ADMISSÃO. POSSIBILIDADE. DECISÃO ADMINISTRATIVA Nº 75/2024. NOVOS FATOS, ARGUMENTOS E PROVAS. ELEMENTOS REPETIDOS. APRECIAÇÃO DISPENSADA. INTERRUPÇÃO DA PRESCRIÇÃO. ATO INEQUÍVOCO DE APURAÇÃO. DESNECESSIDADE DE CIÊNCIA. DECISÃO DO TRIBUNAL DE CONTAS. DETERMINAÇÃO DE ADEQUAÇÕES EM EDITAL DE LICITAÇÃO. CIÊNCIA INEQUÍVOCA DO AGENTE PÚBLICO SOBRE POSSÍVEL DANO. DOLO. REJEIÇÃO. NOVA CIENTIFICAÇÃO. </w:t>
      </w:r>
      <w:r>
        <w:t xml:space="preserve"> </w:t>
      </w:r>
    </w:p>
    <w:p w:rsidR="00550862" w:rsidRDefault="00000000">
      <w:pPr>
        <w:spacing w:after="0" w:line="259" w:lineRule="auto"/>
        <w:ind w:left="1416" w:firstLine="0"/>
        <w:jc w:val="left"/>
      </w:pPr>
      <w:r>
        <w:t xml:space="preserve"> </w:t>
      </w:r>
    </w:p>
    <w:p w:rsidR="00550862" w:rsidRDefault="00000000">
      <w:pPr>
        <w:numPr>
          <w:ilvl w:val="0"/>
          <w:numId w:val="4"/>
        </w:numPr>
        <w:ind w:right="5"/>
      </w:pPr>
      <w:r>
        <w:t xml:space="preserve">A decisão que rejeita as alegações de defesa e cientifica os responsáveis para recolhimento do débito é impugnável pela via dos Elementos Adicionais de Defesa, nos termos da Decisão Administrativa nº 75/2024. </w:t>
      </w:r>
    </w:p>
    <w:p w:rsidR="00550862" w:rsidRDefault="00000000">
      <w:pPr>
        <w:spacing w:after="0" w:line="259" w:lineRule="auto"/>
        <w:ind w:left="1416" w:firstLine="0"/>
        <w:jc w:val="left"/>
      </w:pPr>
      <w:r>
        <w:t xml:space="preserve"> </w:t>
      </w:r>
    </w:p>
    <w:p w:rsidR="00550862" w:rsidRDefault="00000000">
      <w:pPr>
        <w:numPr>
          <w:ilvl w:val="0"/>
          <w:numId w:val="4"/>
        </w:numPr>
        <w:ind w:right="5"/>
      </w:pPr>
      <w:r>
        <w:t xml:space="preserve">Em sede dos Elementos Adicionais de Defesa, são dignos de apreciação apenas novos fatos, argumentos e provas novas, dispensando-se o enfretamento de elementos repetidos e avaliados anteriormente.  </w:t>
      </w:r>
    </w:p>
    <w:p w:rsidR="00550862" w:rsidRDefault="00000000">
      <w:pPr>
        <w:spacing w:after="0" w:line="259" w:lineRule="auto"/>
        <w:ind w:left="1416" w:firstLine="0"/>
        <w:jc w:val="left"/>
      </w:pPr>
      <w:r>
        <w:t xml:space="preserve"> </w:t>
      </w:r>
    </w:p>
    <w:p w:rsidR="00550862" w:rsidRDefault="00000000">
      <w:pPr>
        <w:numPr>
          <w:ilvl w:val="0"/>
          <w:numId w:val="4"/>
        </w:numPr>
        <w:ind w:right="5"/>
      </w:pPr>
      <w:r>
        <w:t xml:space="preserve">A decisão que rejeita os Elementos Adicionais de Defesa enseja nova cientificação para recolhimento do débito em novo e improrrogável prazo.  </w:t>
      </w:r>
    </w:p>
    <w:p w:rsidR="00550862" w:rsidRDefault="00000000">
      <w:pPr>
        <w:spacing w:after="0" w:line="259" w:lineRule="auto"/>
        <w:ind w:left="1416" w:firstLine="0"/>
        <w:jc w:val="left"/>
      </w:pPr>
      <w:r>
        <w:t xml:space="preserve"> </w:t>
      </w:r>
    </w:p>
    <w:p w:rsidR="00550862" w:rsidRDefault="00000000">
      <w:pPr>
        <w:numPr>
          <w:ilvl w:val="0"/>
          <w:numId w:val="4"/>
        </w:numPr>
        <w:ind w:right="5"/>
      </w:pPr>
      <w:r>
        <w:t xml:space="preserve">A interrupção da prescrição com base em ato inequívoco de apuração do fato dispensa a prévia ciência, notificação ou comunicação do responsável sobre os fatos em apuração, conforme literalidade do art. 2º, §2º, da Decisão Normativa nº 05/2021 TCDF.  </w:t>
      </w:r>
    </w:p>
    <w:p w:rsidR="00550862" w:rsidRDefault="00000000">
      <w:pPr>
        <w:spacing w:after="0" w:line="259" w:lineRule="auto"/>
        <w:ind w:left="1416" w:firstLine="0"/>
        <w:jc w:val="left"/>
      </w:pPr>
      <w:r>
        <w:t xml:space="preserve"> </w:t>
      </w:r>
    </w:p>
    <w:p w:rsidR="00550862" w:rsidRDefault="00000000">
      <w:pPr>
        <w:numPr>
          <w:ilvl w:val="0"/>
          <w:numId w:val="4"/>
        </w:numPr>
        <w:ind w:right="5"/>
      </w:pPr>
      <w:r>
        <w:t xml:space="preserve">Decisão do Tribunal de Contas que determina adequações em edital de licitação dá inequívoca ciência ao agente público a respeito do possível dano ao erário. Precedente (Decisão nº 1840/2024). </w:t>
      </w:r>
    </w:p>
    <w:p w:rsidR="00550862" w:rsidRDefault="00000000">
      <w:pPr>
        <w:spacing w:after="0" w:line="259" w:lineRule="auto"/>
        <w:ind w:left="1416" w:firstLine="0"/>
        <w:jc w:val="left"/>
      </w:pPr>
      <w:r>
        <w:t xml:space="preserve"> </w:t>
      </w:r>
    </w:p>
    <w:p w:rsidR="00550862" w:rsidRDefault="00000000">
      <w:pPr>
        <w:tabs>
          <w:tab w:val="center" w:pos="1110"/>
          <w:tab w:val="center" w:pos="2126"/>
          <w:tab w:val="center" w:pos="2831"/>
          <w:tab w:val="center" w:pos="3542"/>
          <w:tab w:val="center" w:pos="4252"/>
          <w:tab w:val="center" w:pos="5327"/>
        </w:tabs>
        <w:spacing w:after="13" w:line="251" w:lineRule="auto"/>
        <w:ind w:left="0" w:firstLine="0"/>
        <w:jc w:val="left"/>
      </w:pPr>
      <w:r>
        <w:rPr>
          <w:sz w:val="22"/>
        </w:rPr>
        <w:tab/>
      </w:r>
      <w:r>
        <w:rPr>
          <w:b/>
        </w:rPr>
        <w:t>Relator:</w:t>
      </w:r>
      <w:r>
        <w:t xml:space="preserve"> </w:t>
      </w:r>
      <w:r>
        <w:tab/>
        <w:t xml:space="preserve"> </w:t>
      </w:r>
      <w:r>
        <w:tab/>
        <w:t xml:space="preserve"> </w:t>
      </w:r>
      <w:r>
        <w:tab/>
        <w:t xml:space="preserve"> </w:t>
      </w:r>
      <w:r>
        <w:tab/>
        <w:t xml:space="preserve"> </w:t>
      </w:r>
      <w:r>
        <w:tab/>
      </w:r>
      <w:r>
        <w:rPr>
          <w:b/>
        </w:rPr>
        <w:t xml:space="preserve">Sessão: </w:t>
      </w:r>
    </w:p>
    <w:p w:rsidR="00550862" w:rsidRDefault="00000000">
      <w:pPr>
        <w:tabs>
          <w:tab w:val="center" w:pos="2425"/>
          <w:tab w:val="center" w:pos="6782"/>
        </w:tabs>
        <w:spacing w:after="13" w:line="251" w:lineRule="auto"/>
        <w:ind w:left="0" w:firstLine="0"/>
        <w:jc w:val="left"/>
      </w:pPr>
      <w:r>
        <w:rPr>
          <w:sz w:val="22"/>
        </w:rPr>
        <w:tab/>
      </w:r>
      <w:r>
        <w:rPr>
          <w:b/>
        </w:rPr>
        <w:t>Vinícius Cardoso De Pinho Fragoso</w:t>
      </w:r>
      <w:r>
        <w:t xml:space="preserve">  </w:t>
      </w:r>
      <w:r>
        <w:tab/>
      </w:r>
      <w:r>
        <w:rPr>
          <w:b/>
        </w:rPr>
        <w:t xml:space="preserve">ORDINÁRIA nº 5446, de 12/11/2025. </w:t>
      </w:r>
    </w:p>
    <w:p w:rsidR="00550862" w:rsidRDefault="00000000">
      <w:pPr>
        <w:pStyle w:val="Ttulo3"/>
        <w:tabs>
          <w:tab w:val="center" w:pos="1706"/>
          <w:tab w:val="center" w:pos="3542"/>
          <w:tab w:val="center" w:pos="4252"/>
          <w:tab w:val="center" w:pos="6973"/>
        </w:tabs>
        <w:ind w:left="0" w:firstLine="0"/>
      </w:pPr>
      <w:r>
        <w:rPr>
          <w:color w:val="000000"/>
          <w:sz w:val="22"/>
          <w:u w:val="none" w:color="000000"/>
        </w:rPr>
        <w:tab/>
      </w:r>
      <w:r>
        <w:rPr>
          <w:b/>
          <w:color w:val="000000"/>
          <w:u w:val="none" w:color="000000"/>
        </w:rPr>
        <w:t>Decisão por maioria</w:t>
      </w:r>
      <w:r>
        <w:rPr>
          <w:color w:val="000000"/>
          <w:u w:val="none" w:color="000000"/>
        </w:rPr>
        <w:t xml:space="preserve">  </w:t>
      </w:r>
      <w:r>
        <w:rPr>
          <w:color w:val="000000"/>
          <w:u w:val="none" w:color="000000"/>
        </w:rPr>
        <w:tab/>
        <w:t xml:space="preserve"> </w:t>
      </w:r>
      <w:r>
        <w:rPr>
          <w:color w:val="000000"/>
          <w:u w:val="none" w:color="000000"/>
        </w:rPr>
        <w:tab/>
        <w:t xml:space="preserve"> </w:t>
      </w:r>
      <w:r>
        <w:rPr>
          <w:color w:val="000000"/>
          <w:u w:val="none" w:color="000000"/>
        </w:rPr>
        <w:tab/>
      </w:r>
      <w:r>
        <w:t>Proc. nº 25126/2017</w:t>
      </w:r>
      <w:r>
        <w:rPr>
          <w:color w:val="2A69C5"/>
        </w:rPr>
        <w:t xml:space="preserve"> - </w:t>
      </w:r>
      <w:r>
        <w:t>Dec. nº 4482/2025</w:t>
      </w:r>
      <w:r>
        <w:rPr>
          <w:color w:val="000000"/>
          <w:u w:val="none" w:color="000000"/>
        </w:rPr>
        <w:t xml:space="preserve"> </w:t>
      </w:r>
    </w:p>
    <w:p w:rsidR="00550862" w:rsidRDefault="00000000">
      <w:pPr>
        <w:spacing w:after="0" w:line="259" w:lineRule="auto"/>
        <w:ind w:firstLine="0"/>
        <w:jc w:val="left"/>
      </w:pPr>
      <w:r>
        <w:rPr>
          <w:b/>
        </w:rPr>
        <w:t xml:space="preserve"> </w:t>
      </w:r>
    </w:p>
    <w:p w:rsidR="00550862" w:rsidRDefault="00000000">
      <w:pPr>
        <w:spacing w:after="13" w:line="251" w:lineRule="auto"/>
        <w:ind w:left="705" w:hanging="10"/>
      </w:pPr>
      <w:r>
        <w:rPr>
          <w:b/>
        </w:rPr>
        <w:t xml:space="preserve">Decisões relacionadas: </w:t>
      </w:r>
      <w:r>
        <w:t xml:space="preserve"> </w:t>
      </w:r>
    </w:p>
    <w:p w:rsidR="00550862" w:rsidRDefault="00000000">
      <w:pPr>
        <w:spacing w:after="5"/>
        <w:ind w:left="705" w:hanging="10"/>
        <w:jc w:val="left"/>
      </w:pPr>
      <w:r>
        <w:rPr>
          <w:rFonts w:ascii="Segoe UI" w:eastAsia="Segoe UI" w:hAnsi="Segoe UI" w:cs="Segoe UI"/>
          <w:color w:val="0563C1"/>
          <w:u w:val="single" w:color="0563C1"/>
        </w:rPr>
        <w:t>TCDF: Decisão nº 1840/2024</w:t>
      </w:r>
      <w:r>
        <w:rPr>
          <w:rFonts w:ascii="Segoe UI" w:eastAsia="Segoe UI" w:hAnsi="Segoe UI" w:cs="Segoe UI"/>
        </w:rPr>
        <w:t xml:space="preserve"> </w:t>
      </w:r>
    </w:p>
    <w:p w:rsidR="00550862" w:rsidRDefault="00000000">
      <w:pPr>
        <w:spacing w:after="0" w:line="259" w:lineRule="auto"/>
        <w:ind w:firstLine="0"/>
        <w:jc w:val="left"/>
      </w:pPr>
      <w:r>
        <w:rPr>
          <w:rFonts w:ascii="Segoe UI" w:eastAsia="Segoe UI" w:hAnsi="Segoe UI" w:cs="Segoe UI"/>
        </w:rPr>
        <w:t xml:space="preserve"> </w:t>
      </w:r>
    </w:p>
    <w:p w:rsidR="00550862" w:rsidRDefault="00000000">
      <w:pPr>
        <w:spacing w:after="13" w:line="251" w:lineRule="auto"/>
        <w:ind w:left="705" w:hanging="10"/>
      </w:pPr>
      <w:r>
        <w:rPr>
          <w:b/>
        </w:rPr>
        <w:t xml:space="preserve">Legislação relacionada: </w:t>
      </w:r>
      <w:r>
        <w:t xml:space="preserve"> </w:t>
      </w:r>
    </w:p>
    <w:p w:rsidR="00550862" w:rsidRDefault="00000000">
      <w:pPr>
        <w:spacing w:after="5"/>
        <w:ind w:left="705" w:right="4421" w:hanging="10"/>
        <w:jc w:val="left"/>
      </w:pPr>
      <w:r>
        <w:rPr>
          <w:rFonts w:ascii="Segoe UI" w:eastAsia="Segoe UI" w:hAnsi="Segoe UI" w:cs="Segoe UI"/>
          <w:color w:val="0563C1"/>
          <w:u w:val="single" w:color="0563C1"/>
        </w:rPr>
        <w:t>Decisão normativa nº 5/2021, Art. 2º, § 2º.</w:t>
      </w:r>
      <w:r>
        <w:rPr>
          <w:rFonts w:ascii="Segoe UI" w:eastAsia="Segoe UI" w:hAnsi="Segoe UI" w:cs="Segoe UI"/>
        </w:rPr>
        <w:t xml:space="preserve"> </w:t>
      </w:r>
      <w:r>
        <w:rPr>
          <w:rFonts w:ascii="Segoe UI" w:eastAsia="Segoe UI" w:hAnsi="Segoe UI" w:cs="Segoe UI"/>
          <w:color w:val="0563C1"/>
          <w:u w:val="single" w:color="0563C1"/>
        </w:rPr>
        <w:t>Instrução Normativa nº 3/2021, Art. 24.</w:t>
      </w:r>
      <w:r>
        <w:rPr>
          <w:rFonts w:ascii="Segoe UI" w:eastAsia="Segoe UI" w:hAnsi="Segoe UI" w:cs="Segoe UI"/>
        </w:rPr>
        <w:t xml:space="preserve"> </w:t>
      </w:r>
      <w:r>
        <w:t xml:space="preserve"> </w:t>
      </w:r>
    </w:p>
    <w:p w:rsidR="00550862" w:rsidRDefault="00000000">
      <w:pPr>
        <w:spacing w:after="566" w:line="259" w:lineRule="auto"/>
        <w:ind w:left="0" w:firstLine="0"/>
        <w:jc w:val="left"/>
      </w:pPr>
      <w:r>
        <w:rPr>
          <w:rFonts w:ascii="Segoe UI" w:eastAsia="Segoe UI" w:hAnsi="Segoe UI" w:cs="Segoe UI"/>
        </w:rPr>
        <w:t xml:space="preserve"> </w:t>
      </w:r>
    </w:p>
    <w:p w:rsidR="00550862" w:rsidRDefault="00000000">
      <w:pPr>
        <w:tabs>
          <w:tab w:val="center" w:pos="311"/>
          <w:tab w:val="right" w:pos="10594"/>
        </w:tabs>
        <w:spacing w:after="13" w:line="251" w:lineRule="auto"/>
        <w:ind w:left="0" w:firstLine="0"/>
        <w:jc w:val="left"/>
      </w:pPr>
      <w:r>
        <w:rPr>
          <w:sz w:val="22"/>
        </w:rPr>
        <w:tab/>
      </w:r>
      <w:r>
        <w:rPr>
          <w:b/>
          <w:color w:val="4A8FA1"/>
          <w:sz w:val="40"/>
        </w:rPr>
        <w:t xml:space="preserve">2  </w:t>
      </w:r>
      <w:r>
        <w:rPr>
          <w:color w:val="004364"/>
          <w:sz w:val="40"/>
        </w:rPr>
        <w:t xml:space="preserve"> </w:t>
      </w:r>
      <w:r>
        <w:t xml:space="preserve"> </w:t>
      </w:r>
      <w:r>
        <w:tab/>
      </w:r>
      <w:r>
        <w:rPr>
          <w:b/>
        </w:rPr>
        <w:t xml:space="preserve">CONTAS. SECRETARIA DE ESTADO DE TRABALHO DO DISTRITO FEDERAL. SETRAB/DF. </w:t>
      </w:r>
    </w:p>
    <w:p w:rsidR="00550862" w:rsidRDefault="00000000">
      <w:pPr>
        <w:spacing w:after="13" w:line="251" w:lineRule="auto"/>
        <w:ind w:left="705" w:hanging="10"/>
      </w:pPr>
      <w:r>
        <w:rPr>
          <w:b/>
        </w:rPr>
        <w:t xml:space="preserve">SECRETARIA DE ESTADO DE DESENVOLVIMENTO SOCIAL DO DISTRITO FEDERAL. SEDES/DF. TOMADA DE CONTAS ESPECIAL. DILIGÊNCIA SANEADORA. EXAME DE MÉRITO DAS ALEGAÇÕES DE DEFESA. RELATÓRIO CONCLUSIVO. COMISSÃO DE TCE. INTERRUPÇÃO DA PRESCRIÇÃO QUINQUENAL. ÚLTIMO RELATÓRIO. RELATÓRIOS ANTERIORES. INTERRUPÇÃO DA PRESCRIÇÃO INTERCORRENTE. REAJUSTE EM SENTIDO ESTRITO. APLICAÇÃO DE ÍNDICE DE CORREÇÃO MONETÁRIA. AUSÊNCIA DE PREJUÍZO. REGULARIDADE. REGULARIDADE COM RESSALVAS. DETERMINAÇÕES DISPENSADAS. ARQUIVAMENTO. </w:t>
      </w:r>
    </w:p>
    <w:p w:rsidR="00550862" w:rsidRDefault="00000000">
      <w:pPr>
        <w:spacing w:after="0" w:line="259" w:lineRule="auto"/>
        <w:ind w:left="1416" w:firstLine="0"/>
        <w:jc w:val="left"/>
      </w:pPr>
      <w:r>
        <w:t xml:space="preserve"> </w:t>
      </w:r>
    </w:p>
    <w:p w:rsidR="00550862" w:rsidRDefault="00000000">
      <w:pPr>
        <w:numPr>
          <w:ilvl w:val="0"/>
          <w:numId w:val="5"/>
        </w:numPr>
        <w:ind w:right="5"/>
      </w:pPr>
      <w:r>
        <w:t xml:space="preserve">O relatório conclusivo da Comissão Tomadora de Contas Especial não configura evento de natureza repetível para fins interruptivos da prescrição quinquenal, considerando-se, para o referido intento, nos termos do art. 2º, inciso II, c/c o art. 2º-A, inciso VII da Decisão Normativa nº 05/2021 - TCDF, apenas o último relatório exarado, vez que encerra e aperfeiçoa a manifestação daquela instância processual. </w:t>
      </w:r>
    </w:p>
    <w:p w:rsidR="00550862" w:rsidRDefault="00000000">
      <w:pPr>
        <w:spacing w:after="0" w:line="259" w:lineRule="auto"/>
        <w:ind w:left="1416" w:firstLine="0"/>
        <w:jc w:val="left"/>
      </w:pPr>
      <w:r>
        <w:t xml:space="preserve"> </w:t>
      </w:r>
    </w:p>
    <w:p w:rsidR="00550862" w:rsidRDefault="00000000">
      <w:pPr>
        <w:numPr>
          <w:ilvl w:val="0"/>
          <w:numId w:val="5"/>
        </w:numPr>
        <w:ind w:right="5"/>
      </w:pPr>
      <w:r>
        <w:t xml:space="preserve">O reajuste, em sentido estrito, constitui instrumento de manutenção do equilíbrio econômico-financeiro do contrato, consistente na aplicação do índice de correção monetária previsto no instrumento contratual, o qual deve retratar a variação efetiva do custo de produção, admitida a adoção de índices específicos ou setoriais, nos termos do art. 6º, inciso LIII, da Lei Federal nº 14.133/2021.  </w:t>
      </w:r>
    </w:p>
    <w:p w:rsidR="00550862" w:rsidRDefault="00000000">
      <w:pPr>
        <w:spacing w:after="0" w:line="259" w:lineRule="auto"/>
        <w:ind w:left="1416" w:firstLine="0"/>
        <w:jc w:val="left"/>
      </w:pPr>
      <w:r>
        <w:t xml:space="preserve"> </w:t>
      </w:r>
    </w:p>
    <w:p w:rsidR="00550862" w:rsidRDefault="00000000">
      <w:pPr>
        <w:numPr>
          <w:ilvl w:val="0"/>
          <w:numId w:val="5"/>
        </w:numPr>
        <w:ind w:right="5"/>
      </w:pPr>
      <w:r>
        <w:t xml:space="preserve">O reajuste, em sentido estrito, previsto em instrumento editalício configura direito patrimonial do contratado, de natureza renunciável por manifestação de vontade da parte beneficiária.  </w:t>
      </w:r>
    </w:p>
    <w:p w:rsidR="00550862" w:rsidRDefault="00000000">
      <w:pPr>
        <w:spacing w:after="0" w:line="259" w:lineRule="auto"/>
        <w:ind w:left="1416" w:firstLine="0"/>
        <w:jc w:val="left"/>
      </w:pPr>
      <w:r>
        <w:t xml:space="preserve"> </w:t>
      </w:r>
    </w:p>
    <w:p w:rsidR="00550862" w:rsidRDefault="00000000">
      <w:pPr>
        <w:numPr>
          <w:ilvl w:val="0"/>
          <w:numId w:val="5"/>
        </w:numPr>
        <w:ind w:right="5"/>
      </w:pPr>
      <w:r>
        <w:t xml:space="preserve">Em sede de Tomada de Contas Especial, não configura prejuízo ao erário a aplicação acumulada de índices de reajuste que representa recomposição dos custos efetivamente suportados pela contratada, desde que não implique vantagem indevida, tratando-se de medida de natureza corretiva e reparatória, voltada à restauração do equilíbrio econômico-financeiro do ajuste.  </w:t>
      </w:r>
    </w:p>
    <w:p w:rsidR="00550862" w:rsidRDefault="00000000">
      <w:pPr>
        <w:spacing w:after="0" w:line="259" w:lineRule="auto"/>
        <w:ind w:left="1416" w:firstLine="0"/>
        <w:jc w:val="left"/>
      </w:pPr>
      <w:r>
        <w:t xml:space="preserve"> </w:t>
      </w:r>
    </w:p>
    <w:p w:rsidR="00550862" w:rsidRDefault="00000000">
      <w:pPr>
        <w:numPr>
          <w:ilvl w:val="0"/>
          <w:numId w:val="5"/>
        </w:numPr>
        <w:ind w:right="5"/>
      </w:pPr>
      <w:r>
        <w:t xml:space="preserve">O requerimento tempestivo de repactuação afasta a presunção de renúncia ou preclusão lógica do direito da contratada, ainda que o termo aditivo subsequente seja silente em relação à quaestio.  </w:t>
      </w:r>
    </w:p>
    <w:p w:rsidR="00550862" w:rsidRDefault="00000000">
      <w:pPr>
        <w:spacing w:after="0" w:line="259" w:lineRule="auto"/>
        <w:ind w:left="1416" w:firstLine="0"/>
        <w:jc w:val="left"/>
      </w:pPr>
      <w:r>
        <w:t xml:space="preserve"> </w:t>
      </w:r>
    </w:p>
    <w:p w:rsidR="00550862" w:rsidRDefault="00000000">
      <w:pPr>
        <w:numPr>
          <w:ilvl w:val="0"/>
          <w:numId w:val="5"/>
        </w:numPr>
        <w:ind w:right="5"/>
      </w:pPr>
      <w:r>
        <w:t xml:space="preserve">As determinações decorrentes do julgamento regular com ressalvas das contas, previstas no art. 19 da Lei Complementar nº 01/1994, são dispensáveis se, diante do caso concreto, não forem mais tempestivas ou necessárias, conforme se extrai do art. 204, § 2º, do Regimento Interno do TCDF. </w:t>
      </w:r>
    </w:p>
    <w:p w:rsidR="00550862" w:rsidRDefault="00000000">
      <w:pPr>
        <w:spacing w:after="0" w:line="259" w:lineRule="auto"/>
        <w:ind w:left="1416" w:firstLine="0"/>
        <w:jc w:val="left"/>
      </w:pPr>
      <w:r>
        <w:t xml:space="preserve"> </w:t>
      </w:r>
    </w:p>
    <w:p w:rsidR="00550862" w:rsidRDefault="00000000">
      <w:pPr>
        <w:tabs>
          <w:tab w:val="center" w:pos="1110"/>
          <w:tab w:val="center" w:pos="2126"/>
          <w:tab w:val="center" w:pos="2831"/>
          <w:tab w:val="center" w:pos="3542"/>
          <w:tab w:val="center" w:pos="4252"/>
          <w:tab w:val="center" w:pos="5327"/>
        </w:tabs>
        <w:spacing w:after="13" w:line="251" w:lineRule="auto"/>
        <w:ind w:left="0" w:firstLine="0"/>
        <w:jc w:val="left"/>
      </w:pPr>
      <w:r>
        <w:rPr>
          <w:sz w:val="22"/>
        </w:rPr>
        <w:tab/>
      </w:r>
      <w:r>
        <w:rPr>
          <w:b/>
        </w:rPr>
        <w:t>Relator:</w:t>
      </w:r>
      <w:r>
        <w:t xml:space="preserve"> </w:t>
      </w:r>
      <w:r>
        <w:tab/>
        <w:t xml:space="preserve"> </w:t>
      </w:r>
      <w:r>
        <w:tab/>
        <w:t xml:space="preserve"> </w:t>
      </w:r>
      <w:r>
        <w:tab/>
        <w:t xml:space="preserve"> </w:t>
      </w:r>
      <w:r>
        <w:tab/>
        <w:t xml:space="preserve"> </w:t>
      </w:r>
      <w:r>
        <w:tab/>
      </w:r>
      <w:r>
        <w:rPr>
          <w:b/>
        </w:rPr>
        <w:t xml:space="preserve">Sessão: </w:t>
      </w:r>
    </w:p>
    <w:p w:rsidR="00550862" w:rsidRDefault="00000000">
      <w:pPr>
        <w:tabs>
          <w:tab w:val="center" w:pos="2425"/>
          <w:tab w:val="center" w:pos="6782"/>
        </w:tabs>
        <w:spacing w:after="13" w:line="251" w:lineRule="auto"/>
        <w:ind w:left="0" w:firstLine="0"/>
        <w:jc w:val="left"/>
      </w:pPr>
      <w:r>
        <w:rPr>
          <w:sz w:val="22"/>
        </w:rPr>
        <w:tab/>
      </w:r>
      <w:r>
        <w:rPr>
          <w:b/>
        </w:rPr>
        <w:t>Vinícius Cardoso De Pinho Fragoso</w:t>
      </w:r>
      <w:r>
        <w:t xml:space="preserve">  </w:t>
      </w:r>
      <w:r>
        <w:tab/>
      </w:r>
      <w:r>
        <w:rPr>
          <w:b/>
        </w:rPr>
        <w:t xml:space="preserve">ORDINÁRIA nº 5446, de 12/11/2025. </w:t>
      </w:r>
    </w:p>
    <w:p w:rsidR="00550862" w:rsidRDefault="00000000">
      <w:pPr>
        <w:pStyle w:val="Ttulo3"/>
        <w:tabs>
          <w:tab w:val="center" w:pos="1982"/>
          <w:tab w:val="center" w:pos="3542"/>
          <w:tab w:val="center" w:pos="4252"/>
          <w:tab w:val="center" w:pos="6911"/>
        </w:tabs>
        <w:ind w:left="0" w:firstLine="0"/>
      </w:pPr>
      <w:r>
        <w:rPr>
          <w:color w:val="000000"/>
          <w:sz w:val="22"/>
          <w:u w:val="none" w:color="000000"/>
        </w:rPr>
        <w:tab/>
      </w:r>
      <w:r>
        <w:rPr>
          <w:b/>
          <w:color w:val="000000"/>
          <w:u w:val="none" w:color="000000"/>
        </w:rPr>
        <w:t>Decisão por unanimidade</w:t>
      </w:r>
      <w:r>
        <w:rPr>
          <w:color w:val="000000"/>
          <w:u w:val="none" w:color="000000"/>
        </w:rPr>
        <w:t xml:space="preserve"> </w:t>
      </w:r>
      <w:r>
        <w:rPr>
          <w:color w:val="000000"/>
          <w:u w:val="none" w:color="000000"/>
        </w:rPr>
        <w:tab/>
        <w:t xml:space="preserve"> </w:t>
      </w:r>
      <w:r>
        <w:rPr>
          <w:color w:val="000000"/>
          <w:u w:val="none" w:color="000000"/>
        </w:rPr>
        <w:tab/>
        <w:t xml:space="preserve"> </w:t>
      </w:r>
      <w:r>
        <w:rPr>
          <w:color w:val="000000"/>
          <w:u w:val="none" w:color="000000"/>
        </w:rPr>
        <w:tab/>
      </w:r>
      <w:r>
        <w:t>Proc. nº 1852/2022</w:t>
      </w:r>
      <w:r>
        <w:rPr>
          <w:color w:val="2A69C5"/>
        </w:rPr>
        <w:t xml:space="preserve"> - </w:t>
      </w:r>
      <w:r>
        <w:t>Dec. nº 4537/2025</w:t>
      </w:r>
      <w:r>
        <w:rPr>
          <w:b/>
          <w:color w:val="000000"/>
          <w:u w:val="none" w:color="000000"/>
        </w:rPr>
        <w:t xml:space="preserve"> </w:t>
      </w:r>
    </w:p>
    <w:p w:rsidR="00550862" w:rsidRDefault="00000000">
      <w:pPr>
        <w:spacing w:after="0" w:line="259" w:lineRule="auto"/>
        <w:ind w:firstLine="0"/>
        <w:jc w:val="left"/>
      </w:pPr>
      <w:r>
        <w:t xml:space="preserve"> </w:t>
      </w:r>
    </w:p>
    <w:p w:rsidR="00550862" w:rsidRDefault="00000000">
      <w:pPr>
        <w:spacing w:after="13" w:line="251" w:lineRule="auto"/>
        <w:ind w:left="705" w:hanging="10"/>
      </w:pPr>
      <w:r>
        <w:rPr>
          <w:b/>
        </w:rPr>
        <w:t>Precedentes externos:</w:t>
      </w:r>
      <w:r>
        <w:t xml:space="preserve"> </w:t>
      </w:r>
    </w:p>
    <w:p w:rsidR="00550862" w:rsidRDefault="00000000">
      <w:pPr>
        <w:spacing w:after="5"/>
        <w:ind w:left="705" w:hanging="10"/>
        <w:jc w:val="left"/>
      </w:pPr>
      <w:r>
        <w:rPr>
          <w:rFonts w:ascii="Segoe UI" w:eastAsia="Segoe UI" w:hAnsi="Segoe UI" w:cs="Segoe UI"/>
          <w:color w:val="0563C1"/>
          <w:u w:val="single" w:color="0563C1"/>
        </w:rPr>
        <w:t>STJ: AgInt nos EDcl no AGRAVO EM RECURSO ESPECIAL Nº 24</w:t>
      </w:r>
      <w:r>
        <w:rPr>
          <w:rFonts w:ascii="Segoe UI" w:eastAsia="Segoe UI" w:hAnsi="Segoe UI" w:cs="Segoe UI"/>
        </w:rPr>
        <w:t xml:space="preserve"> </w:t>
      </w:r>
    </w:p>
    <w:p w:rsidR="00550862" w:rsidRDefault="00000000">
      <w:pPr>
        <w:spacing w:after="0" w:line="259" w:lineRule="auto"/>
        <w:ind w:left="700" w:firstLine="0"/>
        <w:jc w:val="left"/>
      </w:pPr>
      <w:r>
        <w:rPr>
          <w:b/>
        </w:rPr>
        <w:t xml:space="preserve"> </w:t>
      </w:r>
    </w:p>
    <w:p w:rsidR="00550862" w:rsidRDefault="00000000">
      <w:pPr>
        <w:spacing w:after="13" w:line="251" w:lineRule="auto"/>
        <w:ind w:left="705" w:hanging="10"/>
      </w:pPr>
      <w:r>
        <w:rPr>
          <w:b/>
        </w:rPr>
        <w:t xml:space="preserve">Legislação relacionada: </w:t>
      </w:r>
      <w:r>
        <w:t xml:space="preserve"> </w:t>
      </w:r>
    </w:p>
    <w:p w:rsidR="00550862" w:rsidRDefault="00000000">
      <w:pPr>
        <w:spacing w:after="5"/>
        <w:ind w:left="705" w:hanging="10"/>
        <w:jc w:val="left"/>
      </w:pPr>
      <w:r>
        <w:rPr>
          <w:rFonts w:ascii="Segoe UI" w:eastAsia="Segoe UI" w:hAnsi="Segoe UI" w:cs="Segoe UI"/>
          <w:color w:val="0563C1"/>
          <w:u w:val="single" w:color="0563C1"/>
        </w:rPr>
        <w:t>Lei nº 14.133/2021, Art. 6º, LVIII.</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Lei nº 14.133/2021, Art. 6º, LIX.</w:t>
      </w:r>
      <w:r>
        <w:rPr>
          <w:rFonts w:ascii="Segoe UI" w:eastAsia="Segoe UI" w:hAnsi="Segoe UI" w:cs="Segoe UI"/>
        </w:rPr>
        <w:t xml:space="preserve"> </w:t>
      </w:r>
      <w:r>
        <w:t xml:space="preserve"> </w:t>
      </w:r>
    </w:p>
    <w:p w:rsidR="00550862" w:rsidRDefault="00000000">
      <w:pPr>
        <w:spacing w:after="455" w:line="259" w:lineRule="auto"/>
        <w:ind w:left="700" w:firstLine="0"/>
        <w:jc w:val="left"/>
      </w:pPr>
      <w:r>
        <w:rPr>
          <w:rFonts w:ascii="Segoe UI" w:eastAsia="Segoe UI" w:hAnsi="Segoe UI" w:cs="Segoe UI"/>
        </w:rPr>
        <w:t xml:space="preserve"> </w:t>
      </w:r>
    </w:p>
    <w:p w:rsidR="00550862" w:rsidRDefault="00000000">
      <w:pPr>
        <w:spacing w:after="13" w:line="251" w:lineRule="auto"/>
        <w:ind w:hanging="500"/>
      </w:pPr>
      <w:r>
        <w:rPr>
          <w:b/>
          <w:color w:val="4A8FA1"/>
          <w:sz w:val="40"/>
        </w:rPr>
        <w:t xml:space="preserve">3 </w:t>
      </w:r>
      <w:r>
        <w:t xml:space="preserve">  </w:t>
      </w:r>
      <w:r>
        <w:rPr>
          <w:b/>
        </w:rPr>
        <w:t xml:space="preserve">CONTAS. PROCESSUAL. SECRETARIA DE ESTADO DE SAÚDE DO DISTRITO FEDERAL. SES/DF. TOMADA DE CONTAS ESPECIAL. OPME. PRAZO DE VALIDADE. EXPIRAÇÃO. CONSUMO MÉDIO MENSAL. SUPERESTIMATIVA. FALHAS NOS SISTEMAS DE GESTÃO. PRESCRIÇÃO. INOCORRÊNCIA. DANO AO ERÁRIO. CITAÇÃO. AUSÊNCIA DE DOLO OU CULPA GRAVE. CONTAS REGULARES. RESSALVAS. </w:t>
      </w:r>
    </w:p>
    <w:p w:rsidR="00550862" w:rsidRDefault="00000000">
      <w:pPr>
        <w:spacing w:after="0" w:line="259" w:lineRule="auto"/>
        <w:ind w:left="1416" w:firstLine="0"/>
        <w:jc w:val="left"/>
      </w:pPr>
      <w:r>
        <w:t xml:space="preserve"> </w:t>
      </w:r>
    </w:p>
    <w:p w:rsidR="00550862" w:rsidRDefault="00000000">
      <w:pPr>
        <w:numPr>
          <w:ilvl w:val="0"/>
          <w:numId w:val="6"/>
        </w:numPr>
        <w:ind w:right="5"/>
      </w:pPr>
      <w:r>
        <w:t xml:space="preserve">O termo inicial da prescrição de débitos associados à extrapolação da validade de produtos reside na data de expiração do aludido prazo, com base no art. 1º, inciso I, da Decisão Normativa nº 5/2021 - TCDF, devendo-se fixar dies a quo específicos para cada lote/produto considerado. Precedentes (Decisão nº 2221/2024; Decisão nº 86/2025; e Decisão nº 259/2025). </w:t>
      </w:r>
    </w:p>
    <w:p w:rsidR="00550862" w:rsidRDefault="00000000">
      <w:pPr>
        <w:spacing w:after="0" w:line="259" w:lineRule="auto"/>
        <w:ind w:left="1416" w:firstLine="0"/>
        <w:jc w:val="left"/>
      </w:pPr>
      <w:r>
        <w:t xml:space="preserve"> </w:t>
      </w:r>
    </w:p>
    <w:p w:rsidR="00550862" w:rsidRDefault="00000000">
      <w:pPr>
        <w:numPr>
          <w:ilvl w:val="0"/>
          <w:numId w:val="6"/>
        </w:numPr>
        <w:ind w:right="5"/>
      </w:pPr>
      <w:r>
        <w:t xml:space="preserve">Carece de fundamento a responsabilização de agente público que haja concorrido para aquisição de produto em quantidades superiores ao necessário, se o fez com base em dados apurados por métodos alternativos de estimação, em razão da falta de confiabilidade dos sistemas de gestão de estoque e consumo disponíveis, nos termos dos arts. 22, § 1º, e 28 da Lei de Introdução às Normas do Direito Brasileiro. </w:t>
      </w:r>
    </w:p>
    <w:p w:rsidR="00550862" w:rsidRDefault="00000000">
      <w:pPr>
        <w:spacing w:after="0" w:line="259" w:lineRule="auto"/>
        <w:ind w:left="1416" w:firstLine="0"/>
        <w:jc w:val="left"/>
      </w:pPr>
      <w:r>
        <w:t xml:space="preserve"> </w:t>
      </w:r>
    </w:p>
    <w:p w:rsidR="00550862" w:rsidRDefault="00000000">
      <w:pPr>
        <w:tabs>
          <w:tab w:val="center" w:pos="1110"/>
          <w:tab w:val="center" w:pos="2126"/>
          <w:tab w:val="center" w:pos="2831"/>
          <w:tab w:val="center" w:pos="3542"/>
          <w:tab w:val="center" w:pos="4252"/>
          <w:tab w:val="center" w:pos="5327"/>
        </w:tabs>
        <w:spacing w:after="13" w:line="251" w:lineRule="auto"/>
        <w:ind w:left="0" w:firstLine="0"/>
        <w:jc w:val="left"/>
      </w:pPr>
      <w:r>
        <w:rPr>
          <w:sz w:val="22"/>
        </w:rPr>
        <w:tab/>
      </w:r>
      <w:r>
        <w:rPr>
          <w:b/>
        </w:rPr>
        <w:t>Relator:</w:t>
      </w:r>
      <w:r>
        <w:t xml:space="preserve"> </w:t>
      </w:r>
      <w:r>
        <w:tab/>
        <w:t xml:space="preserve"> </w:t>
      </w:r>
      <w:r>
        <w:tab/>
        <w:t xml:space="preserve"> </w:t>
      </w:r>
      <w:r>
        <w:tab/>
        <w:t xml:space="preserve"> </w:t>
      </w:r>
      <w:r>
        <w:tab/>
        <w:t xml:space="preserve"> </w:t>
      </w:r>
      <w:r>
        <w:tab/>
      </w:r>
      <w:r>
        <w:rPr>
          <w:b/>
        </w:rPr>
        <w:t xml:space="preserve">Sessão: </w:t>
      </w:r>
    </w:p>
    <w:p w:rsidR="00550862" w:rsidRDefault="00000000">
      <w:pPr>
        <w:tabs>
          <w:tab w:val="center" w:pos="2425"/>
          <w:tab w:val="center" w:pos="6782"/>
        </w:tabs>
        <w:spacing w:after="13" w:line="251" w:lineRule="auto"/>
        <w:ind w:left="0" w:firstLine="0"/>
        <w:jc w:val="left"/>
      </w:pPr>
      <w:r>
        <w:rPr>
          <w:sz w:val="22"/>
        </w:rPr>
        <w:tab/>
      </w:r>
      <w:r>
        <w:rPr>
          <w:b/>
        </w:rPr>
        <w:t>Vinícius Cardoso De Pinho Fragoso</w:t>
      </w:r>
      <w:r>
        <w:t xml:space="preserve">  </w:t>
      </w:r>
      <w:r>
        <w:tab/>
      </w:r>
      <w:r>
        <w:rPr>
          <w:b/>
        </w:rPr>
        <w:t xml:space="preserve">ORDINÁRIA nº 5446, de 12/11/2025. </w:t>
      </w:r>
    </w:p>
    <w:p w:rsidR="00550862" w:rsidRDefault="00000000">
      <w:pPr>
        <w:pStyle w:val="Ttulo3"/>
        <w:tabs>
          <w:tab w:val="center" w:pos="1982"/>
          <w:tab w:val="center" w:pos="3542"/>
          <w:tab w:val="center" w:pos="4252"/>
          <w:tab w:val="center" w:pos="6911"/>
        </w:tabs>
        <w:ind w:left="0" w:firstLine="0"/>
      </w:pPr>
      <w:r>
        <w:rPr>
          <w:color w:val="000000"/>
          <w:sz w:val="22"/>
          <w:u w:val="none" w:color="000000"/>
        </w:rPr>
        <w:tab/>
      </w:r>
      <w:r>
        <w:rPr>
          <w:b/>
          <w:color w:val="000000"/>
          <w:u w:val="none" w:color="000000"/>
        </w:rPr>
        <w:t>Decisão por unanimidade</w:t>
      </w:r>
      <w:r>
        <w:rPr>
          <w:color w:val="000000"/>
          <w:u w:val="none" w:color="000000"/>
        </w:rPr>
        <w:t xml:space="preserve"> </w:t>
      </w:r>
      <w:r>
        <w:rPr>
          <w:color w:val="000000"/>
          <w:u w:val="none" w:color="000000"/>
        </w:rPr>
        <w:tab/>
        <w:t xml:space="preserve"> </w:t>
      </w:r>
      <w:r>
        <w:rPr>
          <w:color w:val="000000"/>
          <w:u w:val="none" w:color="000000"/>
        </w:rPr>
        <w:tab/>
        <w:t xml:space="preserve"> </w:t>
      </w:r>
      <w:r>
        <w:rPr>
          <w:color w:val="000000"/>
          <w:u w:val="none" w:color="000000"/>
        </w:rPr>
        <w:tab/>
      </w:r>
      <w:r>
        <w:t>Proc. nº 1991/2024</w:t>
      </w:r>
      <w:r>
        <w:rPr>
          <w:color w:val="2A69C5"/>
        </w:rPr>
        <w:t xml:space="preserve"> - </w:t>
      </w:r>
      <w:r>
        <w:t>Dec. nº 4540/2025</w:t>
      </w:r>
      <w:r>
        <w:rPr>
          <w:color w:val="000000"/>
          <w:u w:val="none" w:color="000000"/>
        </w:rPr>
        <w:t xml:space="preserve"> </w:t>
      </w:r>
    </w:p>
    <w:p w:rsidR="00550862" w:rsidRDefault="00000000">
      <w:pPr>
        <w:spacing w:after="0" w:line="259" w:lineRule="auto"/>
        <w:ind w:firstLine="0"/>
        <w:jc w:val="left"/>
      </w:pPr>
      <w:r>
        <w:rPr>
          <w:b/>
        </w:rPr>
        <w:t xml:space="preserve"> </w:t>
      </w:r>
    </w:p>
    <w:p w:rsidR="00550862" w:rsidRDefault="00000000">
      <w:pPr>
        <w:spacing w:after="13" w:line="251" w:lineRule="auto"/>
        <w:ind w:left="705" w:hanging="10"/>
      </w:pPr>
      <w:r>
        <w:rPr>
          <w:b/>
        </w:rPr>
        <w:t xml:space="preserve">Decisões relacionadas: </w:t>
      </w:r>
      <w:r>
        <w:t xml:space="preserve"> </w:t>
      </w:r>
    </w:p>
    <w:p w:rsidR="00550862" w:rsidRDefault="00000000">
      <w:pPr>
        <w:spacing w:after="5"/>
        <w:ind w:left="705" w:hanging="10"/>
        <w:jc w:val="left"/>
      </w:pPr>
      <w:r>
        <w:rPr>
          <w:rFonts w:ascii="Segoe UI" w:eastAsia="Segoe UI" w:hAnsi="Segoe UI" w:cs="Segoe UI"/>
          <w:color w:val="0563C1"/>
          <w:u w:val="single" w:color="0563C1"/>
        </w:rPr>
        <w:t>TCDF: Decisão nº 2221/2024</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TCDF: Decisão nº 86/2025</w:t>
      </w:r>
      <w:r>
        <w:t xml:space="preserve"> </w:t>
      </w:r>
    </w:p>
    <w:p w:rsidR="00550862" w:rsidRDefault="00000000">
      <w:pPr>
        <w:spacing w:after="5"/>
        <w:ind w:left="705" w:hanging="10"/>
        <w:jc w:val="left"/>
      </w:pPr>
      <w:r>
        <w:rPr>
          <w:rFonts w:ascii="Segoe UI" w:eastAsia="Segoe UI" w:hAnsi="Segoe UI" w:cs="Segoe UI"/>
          <w:color w:val="0563C1"/>
          <w:u w:val="single" w:color="0563C1"/>
        </w:rPr>
        <w:t>TCDF: Decisão nº 259/2025</w:t>
      </w:r>
      <w:r>
        <w:t xml:space="preserve"> </w:t>
      </w:r>
    </w:p>
    <w:p w:rsidR="00550862" w:rsidRDefault="00000000">
      <w:pPr>
        <w:spacing w:after="0" w:line="259" w:lineRule="auto"/>
        <w:ind w:firstLine="0"/>
        <w:jc w:val="left"/>
      </w:pPr>
      <w:r>
        <w:rPr>
          <w:rFonts w:ascii="Segoe UI" w:eastAsia="Segoe UI" w:hAnsi="Segoe UI" w:cs="Segoe UI"/>
        </w:rPr>
        <w:t xml:space="preserve"> </w:t>
      </w:r>
    </w:p>
    <w:p w:rsidR="00550862" w:rsidRDefault="00000000">
      <w:pPr>
        <w:spacing w:after="13" w:line="251" w:lineRule="auto"/>
        <w:ind w:left="705" w:hanging="10"/>
      </w:pPr>
      <w:r>
        <w:rPr>
          <w:b/>
        </w:rPr>
        <w:t xml:space="preserve">Legislação relacionada: </w:t>
      </w:r>
      <w:r>
        <w:t xml:space="preserve"> </w:t>
      </w:r>
    </w:p>
    <w:p w:rsidR="00550862" w:rsidRDefault="00000000">
      <w:pPr>
        <w:spacing w:after="5"/>
        <w:ind w:left="705" w:hanging="10"/>
        <w:jc w:val="left"/>
      </w:pPr>
      <w:r>
        <w:rPr>
          <w:rFonts w:ascii="Segoe UI" w:eastAsia="Segoe UI" w:hAnsi="Segoe UI" w:cs="Segoe UI"/>
          <w:color w:val="0563C1"/>
          <w:u w:val="single" w:color="0563C1"/>
        </w:rPr>
        <w:t>Decreto-lei nº 4657/1942 - LINDB, Art. 22.</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Decisão normativa nº 5/2021, Art. 1º, I.</w:t>
      </w:r>
      <w:r>
        <w:t xml:space="preserve"> </w:t>
      </w:r>
    </w:p>
    <w:p w:rsidR="00550862" w:rsidRDefault="00000000">
      <w:pPr>
        <w:spacing w:after="83" w:line="259" w:lineRule="auto"/>
        <w:ind w:left="700" w:firstLine="0"/>
        <w:jc w:val="left"/>
      </w:pPr>
      <w:r>
        <w:rPr>
          <w:rFonts w:ascii="Segoe UI" w:eastAsia="Segoe UI" w:hAnsi="Segoe UI" w:cs="Segoe UI"/>
        </w:rPr>
        <w:t xml:space="preserve"> </w:t>
      </w:r>
    </w:p>
    <w:p w:rsidR="00550862" w:rsidRDefault="00000000">
      <w:pPr>
        <w:spacing w:after="58" w:line="259" w:lineRule="auto"/>
        <w:ind w:left="0" w:firstLine="0"/>
        <w:jc w:val="left"/>
      </w:pPr>
      <w:r>
        <w:rPr>
          <w:b/>
          <w:color w:val="004582"/>
          <w:sz w:val="32"/>
        </w:rPr>
        <w:t xml:space="preserve"> </w:t>
      </w:r>
    </w:p>
    <w:p w:rsidR="00550862" w:rsidRDefault="00000000">
      <w:pPr>
        <w:pStyle w:val="Ttulo3"/>
        <w:spacing w:after="617"/>
        <w:ind w:left="0" w:firstLine="0"/>
      </w:pPr>
      <w:r>
        <w:rPr>
          <w:b/>
          <w:color w:val="1D9955"/>
          <w:sz w:val="32"/>
          <w:u w:val="none" w:color="000000"/>
        </w:rPr>
        <w:t xml:space="preserve">Pessoal (novembro a dezembro/2025) </w:t>
      </w:r>
    </w:p>
    <w:p w:rsidR="00550862" w:rsidRDefault="00000000">
      <w:pPr>
        <w:tabs>
          <w:tab w:val="center" w:pos="285"/>
          <w:tab w:val="right" w:pos="10594"/>
        </w:tabs>
        <w:spacing w:after="13" w:line="251" w:lineRule="auto"/>
        <w:ind w:left="0" w:firstLine="0"/>
        <w:jc w:val="left"/>
      </w:pPr>
      <w:r>
        <w:rPr>
          <w:sz w:val="22"/>
        </w:rPr>
        <w:tab/>
      </w:r>
      <w:r>
        <w:rPr>
          <w:b/>
          <w:color w:val="0D7C3F"/>
          <w:sz w:val="40"/>
        </w:rPr>
        <w:t>1</w:t>
      </w:r>
      <w:r>
        <w:rPr>
          <w:color w:val="004364"/>
          <w:sz w:val="40"/>
        </w:rPr>
        <w:t xml:space="preserve">   </w:t>
      </w:r>
      <w:r>
        <w:t xml:space="preserve">  </w:t>
      </w:r>
      <w:r>
        <w:tab/>
      </w:r>
      <w:r>
        <w:rPr>
          <w:b/>
        </w:rPr>
        <w:t xml:space="preserve">REPRESENTAÇÃO. CIDADÃO. POLÍCIA MILITAR DO DISTRITO FEDERAL. SUPOSTA EXCLUSÃO </w:t>
      </w:r>
    </w:p>
    <w:p w:rsidR="00550862" w:rsidRDefault="00000000">
      <w:pPr>
        <w:spacing w:after="13" w:line="251" w:lineRule="auto"/>
        <w:ind w:left="705" w:hanging="10"/>
      </w:pPr>
      <w:r>
        <w:rPr>
          <w:b/>
        </w:rPr>
        <w:t xml:space="preserve">INDEVIDA DOS QUADROS DA CORPORAÇÃO. MEDIDA CAUTELAR. DEFERIMENTO. REINCLUSÃO DO INTERESSADO NOS QUADROS DA POLÍCIA MILITAR DO DISTRITO FEDERAL. RECURSO INOMINADO. EXAME DE MÉRITO. NÃO PROVIMENTO. MANUTENÇÃO DA MEDIDA CAUTELAR. </w:t>
      </w:r>
    </w:p>
    <w:p w:rsidR="00550862" w:rsidRDefault="00000000">
      <w:pPr>
        <w:spacing w:after="0" w:line="259" w:lineRule="auto"/>
        <w:ind w:left="1416" w:firstLine="0"/>
        <w:jc w:val="left"/>
      </w:pPr>
      <w:r>
        <w:t xml:space="preserve"> </w:t>
      </w:r>
    </w:p>
    <w:p w:rsidR="00550862" w:rsidRDefault="00000000">
      <w:pPr>
        <w:numPr>
          <w:ilvl w:val="0"/>
          <w:numId w:val="7"/>
        </w:numPr>
        <w:ind w:right="5"/>
      </w:pPr>
      <w:r>
        <w:t xml:space="preserve">Em regra, a coisa julgada é inviolável tanto por Lei quanto por decisões judiciais ou </w:t>
      </w:r>
    </w:p>
    <w:p w:rsidR="00550862" w:rsidRDefault="00000000">
      <w:pPr>
        <w:ind w:left="695" w:right="5" w:firstLine="0"/>
      </w:pPr>
      <w:r>
        <w:t xml:space="preserve">administrativas (artigo 5º, XXXVI, da Constituição Federal e artigo 6º da Lei n.º 4.657/1942). </w:t>
      </w:r>
    </w:p>
    <w:p w:rsidR="00550862" w:rsidRDefault="00000000">
      <w:pPr>
        <w:spacing w:after="0" w:line="259" w:lineRule="auto"/>
        <w:ind w:left="1416" w:firstLine="0"/>
        <w:jc w:val="left"/>
      </w:pPr>
      <w:r>
        <w:t xml:space="preserve">  </w:t>
      </w:r>
    </w:p>
    <w:p w:rsidR="00550862" w:rsidRDefault="00000000">
      <w:pPr>
        <w:numPr>
          <w:ilvl w:val="0"/>
          <w:numId w:val="7"/>
        </w:numPr>
        <w:ind w:right="5"/>
      </w:pPr>
      <w:r>
        <w:t xml:space="preserve">Havendo decisão do Tribunal de Contas do Distrito Federal proferida, após o trânsito em julgado da decisão judicial, especialmente em razão de nova situação jurídica, por certo que a eficácia preclusiva da coisa julgada não abarca a decisão administrativa (Ação Rescisória nº 2.931/DF - Rel. Min. Gilmar Mendes).  </w:t>
      </w:r>
    </w:p>
    <w:p w:rsidR="00550862" w:rsidRDefault="00000000">
      <w:pPr>
        <w:spacing w:after="0" w:line="259" w:lineRule="auto"/>
        <w:ind w:left="1416" w:firstLine="0"/>
        <w:jc w:val="left"/>
      </w:pPr>
      <w:r>
        <w:t xml:space="preserve"> </w:t>
      </w:r>
    </w:p>
    <w:p w:rsidR="00550862" w:rsidRDefault="00000000">
      <w:pPr>
        <w:numPr>
          <w:ilvl w:val="0"/>
          <w:numId w:val="7"/>
        </w:numPr>
        <w:ind w:right="5"/>
      </w:pPr>
      <w:r>
        <w:t xml:space="preserve">O princípio da segurança jurídica pressupõe a conjugação de elementos essenciais à estabilidade das relações jurídicas, tais como o conhecimento do direito aplicável, a confiança legítima nas condutas e nas instituições públicas, bem como a previsibilidade das consequências jurídicas decorrentes dos atos administrativos.  </w:t>
      </w:r>
    </w:p>
    <w:p w:rsidR="00550862" w:rsidRDefault="00000000">
      <w:pPr>
        <w:spacing w:after="0" w:line="259" w:lineRule="auto"/>
        <w:ind w:left="1416" w:firstLine="0"/>
        <w:jc w:val="left"/>
      </w:pPr>
      <w:r>
        <w:t xml:space="preserve"> </w:t>
      </w:r>
    </w:p>
    <w:p w:rsidR="00550862" w:rsidRDefault="00000000">
      <w:pPr>
        <w:numPr>
          <w:ilvl w:val="0"/>
          <w:numId w:val="7"/>
        </w:numPr>
        <w:ind w:right="5"/>
      </w:pPr>
      <w:r>
        <w:t xml:space="preserve">A aplicação do art. 20 da LINDB impõe à Administração Pública a consideração das consequências práticas de suas decisões, de modo a promover soluções juridicamente adequadas, proporcionais e socialmente responsáveis.  </w:t>
      </w:r>
    </w:p>
    <w:p w:rsidR="00550862" w:rsidRDefault="00000000">
      <w:pPr>
        <w:spacing w:after="0" w:line="259" w:lineRule="auto"/>
        <w:ind w:left="1416" w:firstLine="0"/>
        <w:jc w:val="left"/>
      </w:pPr>
      <w:r>
        <w:t xml:space="preserve"> </w:t>
      </w:r>
    </w:p>
    <w:p w:rsidR="00550862" w:rsidRDefault="00000000">
      <w:pPr>
        <w:numPr>
          <w:ilvl w:val="0"/>
          <w:numId w:val="7"/>
        </w:numPr>
        <w:ind w:right="5"/>
      </w:pPr>
      <w:r>
        <w:t xml:space="preserve">A manutenção de servidor em cargo público, quando fundada em circunstâncias específicas e excepcionais, não deve ser interpretada como precedente apto a afastar o dever de observância aos princípios da legalidade e da segurança jurídica, que garantem previsibilidade, estabilidade e isonomia no acesso aos cargos públicos. </w:t>
      </w:r>
    </w:p>
    <w:p w:rsidR="00550862" w:rsidRDefault="00000000">
      <w:pPr>
        <w:spacing w:after="0" w:line="259" w:lineRule="auto"/>
        <w:ind w:left="1416" w:firstLine="0"/>
        <w:jc w:val="left"/>
      </w:pPr>
      <w:r>
        <w:t xml:space="preserve"> </w:t>
      </w:r>
    </w:p>
    <w:p w:rsidR="00550862" w:rsidRDefault="00000000">
      <w:pPr>
        <w:tabs>
          <w:tab w:val="center" w:pos="1110"/>
          <w:tab w:val="center" w:pos="2126"/>
          <w:tab w:val="center" w:pos="2831"/>
          <w:tab w:val="center" w:pos="3542"/>
          <w:tab w:val="center" w:pos="4252"/>
          <w:tab w:val="center" w:pos="5327"/>
        </w:tabs>
        <w:spacing w:after="13" w:line="251" w:lineRule="auto"/>
        <w:ind w:left="0" w:firstLine="0"/>
        <w:jc w:val="left"/>
      </w:pPr>
      <w:r>
        <w:rPr>
          <w:sz w:val="22"/>
        </w:rPr>
        <w:tab/>
      </w:r>
      <w:r>
        <w:rPr>
          <w:b/>
        </w:rPr>
        <w:t>Relator:</w:t>
      </w:r>
      <w:r>
        <w:t xml:space="preserve"> </w:t>
      </w:r>
      <w:r>
        <w:tab/>
        <w:t xml:space="preserve"> </w:t>
      </w:r>
      <w:r>
        <w:tab/>
        <w:t xml:space="preserve"> </w:t>
      </w:r>
      <w:r>
        <w:tab/>
        <w:t xml:space="preserve"> </w:t>
      </w:r>
      <w:r>
        <w:tab/>
        <w:t xml:space="preserve"> </w:t>
      </w:r>
      <w:r>
        <w:tab/>
      </w:r>
      <w:r>
        <w:rPr>
          <w:b/>
        </w:rPr>
        <w:t xml:space="preserve">Sessão: </w:t>
      </w:r>
    </w:p>
    <w:p w:rsidR="00550862" w:rsidRDefault="00000000">
      <w:pPr>
        <w:tabs>
          <w:tab w:val="center" w:pos="2328"/>
          <w:tab w:val="center" w:pos="4252"/>
          <w:tab w:val="center" w:pos="6782"/>
        </w:tabs>
        <w:spacing w:after="13" w:line="251" w:lineRule="auto"/>
        <w:ind w:left="0" w:firstLine="0"/>
        <w:jc w:val="left"/>
      </w:pPr>
      <w:r>
        <w:rPr>
          <w:sz w:val="22"/>
        </w:rPr>
        <w:tab/>
      </w:r>
      <w:r>
        <w:rPr>
          <w:b/>
        </w:rPr>
        <w:t>André Clemente Lara de Oliveira</w:t>
      </w:r>
      <w:r>
        <w:t xml:space="preserve"> </w:t>
      </w:r>
      <w:r>
        <w:tab/>
        <w:t xml:space="preserve"> </w:t>
      </w:r>
      <w:r>
        <w:tab/>
      </w:r>
      <w:r>
        <w:rPr>
          <w:b/>
        </w:rPr>
        <w:t xml:space="preserve">ORDINÁRIA nº 5447, de 19/11/2025. </w:t>
      </w:r>
    </w:p>
    <w:p w:rsidR="00550862" w:rsidRDefault="00000000">
      <w:pPr>
        <w:pStyle w:val="Ttulo4"/>
        <w:tabs>
          <w:tab w:val="center" w:pos="1982"/>
          <w:tab w:val="center" w:pos="3542"/>
          <w:tab w:val="center" w:pos="4252"/>
          <w:tab w:val="center" w:pos="6911"/>
        </w:tabs>
        <w:ind w:left="0" w:firstLine="0"/>
      </w:pPr>
      <w:r>
        <w:rPr>
          <w:color w:val="000000"/>
          <w:sz w:val="22"/>
          <w:u w:val="none" w:color="000000"/>
        </w:rPr>
        <w:tab/>
      </w:r>
      <w:r>
        <w:rPr>
          <w:b/>
          <w:color w:val="000000"/>
          <w:u w:val="none" w:color="000000"/>
        </w:rPr>
        <w:t>Decisão por unanimidade</w:t>
      </w:r>
      <w:r>
        <w:rPr>
          <w:color w:val="000000"/>
          <w:u w:val="none" w:color="000000"/>
        </w:rPr>
        <w:t xml:space="preserve"> </w:t>
      </w:r>
      <w:r>
        <w:rPr>
          <w:color w:val="000000"/>
          <w:u w:val="none" w:color="000000"/>
        </w:rPr>
        <w:tab/>
        <w:t xml:space="preserve"> </w:t>
      </w:r>
      <w:r>
        <w:rPr>
          <w:color w:val="000000"/>
          <w:u w:val="none" w:color="000000"/>
        </w:rPr>
        <w:tab/>
        <w:t xml:space="preserve"> </w:t>
      </w:r>
      <w:r>
        <w:rPr>
          <w:color w:val="000000"/>
          <w:u w:val="none" w:color="000000"/>
        </w:rPr>
        <w:tab/>
      </w:r>
      <w:r>
        <w:t>Proc. nº 1823/2020</w:t>
      </w:r>
      <w:r>
        <w:rPr>
          <w:color w:val="2A69C5"/>
        </w:rPr>
        <w:t xml:space="preserve"> - </w:t>
      </w:r>
      <w:r>
        <w:t>Dec. nº 4641/2025</w:t>
      </w:r>
      <w:r>
        <w:rPr>
          <w:b/>
          <w:color w:val="000000"/>
          <w:u w:val="none" w:color="000000"/>
        </w:rPr>
        <w:t xml:space="preserve"> </w:t>
      </w:r>
    </w:p>
    <w:p w:rsidR="00550862" w:rsidRDefault="00000000">
      <w:pPr>
        <w:spacing w:after="0" w:line="259" w:lineRule="auto"/>
        <w:ind w:firstLine="0"/>
        <w:jc w:val="left"/>
      </w:pPr>
      <w:r>
        <w:t xml:space="preserve"> </w:t>
      </w:r>
    </w:p>
    <w:p w:rsidR="00550862" w:rsidRDefault="00000000">
      <w:pPr>
        <w:spacing w:after="13" w:line="251" w:lineRule="auto"/>
        <w:ind w:left="705" w:hanging="10"/>
      </w:pPr>
      <w:r>
        <w:rPr>
          <w:b/>
        </w:rPr>
        <w:t>Precedentes externos:</w:t>
      </w:r>
      <w:r>
        <w:t xml:space="preserve"> </w:t>
      </w:r>
    </w:p>
    <w:p w:rsidR="00550862" w:rsidRDefault="00000000">
      <w:pPr>
        <w:spacing w:after="5"/>
        <w:ind w:left="705" w:hanging="10"/>
        <w:jc w:val="left"/>
      </w:pPr>
      <w:r>
        <w:rPr>
          <w:rFonts w:ascii="Segoe UI" w:eastAsia="Segoe UI" w:hAnsi="Segoe UI" w:cs="Segoe UI"/>
          <w:color w:val="0563C1"/>
          <w:u w:val="single" w:color="0563C1"/>
        </w:rPr>
        <w:t>TCU: Acórdão nº 3964/2025 - Primeira Câmara</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TCU: Acórdão nº 1618/2018 - Plenário</w:t>
      </w:r>
      <w:r>
        <w:rPr>
          <w:rFonts w:ascii="Segoe UI" w:eastAsia="Segoe UI" w:hAnsi="Segoe UI" w:cs="Segoe UI"/>
        </w:rPr>
        <w:t xml:space="preserve"> </w:t>
      </w:r>
    </w:p>
    <w:p w:rsidR="00550862" w:rsidRDefault="00000000">
      <w:pPr>
        <w:spacing w:after="0" w:line="259" w:lineRule="auto"/>
        <w:ind w:left="700" w:firstLine="0"/>
        <w:jc w:val="left"/>
      </w:pPr>
      <w:r>
        <w:rPr>
          <w:b/>
        </w:rPr>
        <w:t xml:space="preserve"> </w:t>
      </w:r>
    </w:p>
    <w:p w:rsidR="00550862" w:rsidRDefault="00000000">
      <w:pPr>
        <w:spacing w:after="13" w:line="251" w:lineRule="auto"/>
        <w:ind w:left="705" w:hanging="10"/>
      </w:pPr>
      <w:r>
        <w:rPr>
          <w:b/>
        </w:rPr>
        <w:t xml:space="preserve">Legislação relacionada: </w:t>
      </w:r>
      <w:r>
        <w:t xml:space="preserve"> </w:t>
      </w:r>
    </w:p>
    <w:p w:rsidR="00550862" w:rsidRDefault="00000000">
      <w:pPr>
        <w:spacing w:after="5"/>
        <w:ind w:left="705" w:hanging="10"/>
        <w:jc w:val="left"/>
      </w:pPr>
      <w:r>
        <w:rPr>
          <w:rFonts w:ascii="Segoe UI" w:eastAsia="Segoe UI" w:hAnsi="Segoe UI" w:cs="Segoe UI"/>
          <w:color w:val="0563C1"/>
          <w:u w:val="single" w:color="0563C1"/>
        </w:rPr>
        <w:t>Decreto-lei nº 4657/1942 - LINDB, Art. 20.</w:t>
      </w:r>
      <w:r>
        <w:rPr>
          <w:rFonts w:ascii="Segoe UI" w:eastAsia="Segoe UI" w:hAnsi="Segoe UI" w:cs="Segoe UI"/>
        </w:rPr>
        <w:t xml:space="preserve"> </w:t>
      </w:r>
    </w:p>
    <w:p w:rsidR="00550862" w:rsidRDefault="00000000">
      <w:pPr>
        <w:spacing w:after="602" w:line="259" w:lineRule="auto"/>
        <w:ind w:firstLine="0"/>
        <w:jc w:val="left"/>
      </w:pPr>
      <w:r>
        <w:rPr>
          <w:color w:val="2A69C5"/>
        </w:rPr>
        <w:t xml:space="preserve"> </w:t>
      </w:r>
    </w:p>
    <w:p w:rsidR="00550862" w:rsidRDefault="00000000">
      <w:pPr>
        <w:tabs>
          <w:tab w:val="center" w:pos="311"/>
          <w:tab w:val="right" w:pos="10594"/>
        </w:tabs>
        <w:spacing w:after="13" w:line="251" w:lineRule="auto"/>
        <w:ind w:left="0" w:firstLine="0"/>
        <w:jc w:val="left"/>
      </w:pPr>
      <w:r>
        <w:rPr>
          <w:sz w:val="22"/>
        </w:rPr>
        <w:tab/>
      </w:r>
      <w:r>
        <w:rPr>
          <w:b/>
          <w:color w:val="0D7C3F"/>
          <w:sz w:val="40"/>
        </w:rPr>
        <w:t xml:space="preserve">2 </w:t>
      </w:r>
      <w:r>
        <w:rPr>
          <w:color w:val="004364"/>
          <w:sz w:val="40"/>
        </w:rPr>
        <w:t xml:space="preserve"> </w:t>
      </w:r>
      <w:r>
        <w:t xml:space="preserve">  </w:t>
      </w:r>
      <w:r>
        <w:tab/>
      </w:r>
      <w:r>
        <w:rPr>
          <w:b/>
        </w:rPr>
        <w:t xml:space="preserve">REPRESENTAÇÃO. SECRETARIA DE ESTADO DE EDUCAÇÃO DO DISTRITO FEDERAL. SUPOSTAS </w:t>
      </w:r>
    </w:p>
    <w:p w:rsidR="00550862" w:rsidRDefault="00000000">
      <w:pPr>
        <w:spacing w:after="13" w:line="251" w:lineRule="auto"/>
        <w:ind w:left="705" w:hanging="10"/>
      </w:pPr>
      <w:r>
        <w:rPr>
          <w:b/>
        </w:rPr>
        <w:t xml:space="preserve">IRREGULARIDADES. REDUÇÃO DE PROVENTOS. RESSARCIMENTO DE VALORES. CONHECIMENTO. SOBRESTAMENTO DOS DESCONTOS. DETERMINAÇÃO. MANIFESTAÇÃO DA JURISDICIONADA. ANÁLISE DE MÉRITO. PROCEDÊNCIA. </w:t>
      </w:r>
    </w:p>
    <w:p w:rsidR="00550862" w:rsidRDefault="00000000">
      <w:pPr>
        <w:spacing w:after="0" w:line="259" w:lineRule="auto"/>
        <w:ind w:left="1416" w:firstLine="0"/>
        <w:jc w:val="left"/>
      </w:pPr>
      <w:r>
        <w:t xml:space="preserve"> </w:t>
      </w:r>
    </w:p>
    <w:p w:rsidR="00550862" w:rsidRDefault="00000000">
      <w:pPr>
        <w:numPr>
          <w:ilvl w:val="0"/>
          <w:numId w:val="8"/>
        </w:numPr>
        <w:ind w:right="5"/>
      </w:pPr>
      <w:r>
        <w:t xml:space="preserve">Ao apresentar a certidão e ter implementados os respectivos proventos, o servidor agiu sob a legítima confiança de estar amparado em direito regularmente constituído.  </w:t>
      </w:r>
    </w:p>
    <w:p w:rsidR="00550862" w:rsidRDefault="00000000">
      <w:pPr>
        <w:spacing w:after="0" w:line="259" w:lineRule="auto"/>
        <w:ind w:left="1416" w:firstLine="0"/>
        <w:jc w:val="left"/>
      </w:pPr>
      <w:r>
        <w:t xml:space="preserve"> </w:t>
      </w:r>
    </w:p>
    <w:p w:rsidR="00550862" w:rsidRDefault="00000000">
      <w:pPr>
        <w:numPr>
          <w:ilvl w:val="0"/>
          <w:numId w:val="8"/>
        </w:numPr>
        <w:ind w:right="5"/>
      </w:pPr>
      <w:r>
        <w:t xml:space="preserve">O poder-dever da Administração de rever seus atos eivados de ilegalidade deve ser exercido em harmonia com o princípio da proteção à confiança do administrado.  </w:t>
      </w:r>
    </w:p>
    <w:p w:rsidR="00550862" w:rsidRDefault="00000000">
      <w:pPr>
        <w:spacing w:after="0" w:line="259" w:lineRule="auto"/>
        <w:ind w:left="1416" w:firstLine="0"/>
        <w:jc w:val="left"/>
      </w:pPr>
      <w:r>
        <w:t xml:space="preserve"> </w:t>
      </w:r>
    </w:p>
    <w:p w:rsidR="00550862" w:rsidRDefault="00000000">
      <w:pPr>
        <w:numPr>
          <w:ilvl w:val="0"/>
          <w:numId w:val="8"/>
        </w:numPr>
        <w:ind w:right="5"/>
      </w:pPr>
      <w:r>
        <w:t xml:space="preserve">A jurisprudência consolidada (Tema Repetitivo n.º 1009/STJ) firmou entendimento de que valores recebidos de boa-fé por servidor público, em decorrência de interpretação errônea ou má aplicação da lei pela Administração, são irrepetíveis, não se admitindo sua restituição ao erário.  </w:t>
      </w:r>
    </w:p>
    <w:p w:rsidR="00550862" w:rsidRDefault="00000000">
      <w:pPr>
        <w:spacing w:after="0" w:line="259" w:lineRule="auto"/>
        <w:ind w:left="1416" w:firstLine="0"/>
        <w:jc w:val="left"/>
      </w:pPr>
      <w:r>
        <w:t xml:space="preserve"> </w:t>
      </w:r>
    </w:p>
    <w:p w:rsidR="00550862" w:rsidRDefault="00000000">
      <w:pPr>
        <w:numPr>
          <w:ilvl w:val="0"/>
          <w:numId w:val="8"/>
        </w:numPr>
        <w:ind w:right="5"/>
      </w:pPr>
      <w:r>
        <w:t xml:space="preserve">Considerando que a boa-fé é presumida e que a má-fé exige prova de quem a alega, inexistindo elementos nos autos que indiquem conduta dolosa do interessado, impõe-se a presunção de boa-fé. </w:t>
      </w:r>
    </w:p>
    <w:p w:rsidR="00550862" w:rsidRDefault="00000000">
      <w:pPr>
        <w:spacing w:after="0" w:line="259" w:lineRule="auto"/>
        <w:ind w:left="1416" w:firstLine="0"/>
        <w:jc w:val="left"/>
      </w:pPr>
      <w:r>
        <w:t xml:space="preserve"> </w:t>
      </w:r>
    </w:p>
    <w:p w:rsidR="00550862" w:rsidRDefault="00000000">
      <w:pPr>
        <w:tabs>
          <w:tab w:val="center" w:pos="1111"/>
          <w:tab w:val="center" w:pos="2126"/>
          <w:tab w:val="center" w:pos="2831"/>
          <w:tab w:val="center" w:pos="3542"/>
          <w:tab w:val="center" w:pos="4252"/>
          <w:tab w:val="center" w:pos="5327"/>
        </w:tabs>
        <w:spacing w:after="13" w:line="251" w:lineRule="auto"/>
        <w:ind w:left="0" w:firstLine="0"/>
        <w:jc w:val="left"/>
      </w:pPr>
      <w:r>
        <w:rPr>
          <w:sz w:val="22"/>
        </w:rPr>
        <w:tab/>
      </w:r>
      <w:r>
        <w:rPr>
          <w:b/>
        </w:rPr>
        <w:t>Relator:</w:t>
      </w:r>
      <w:r>
        <w:t xml:space="preserve"> </w:t>
      </w:r>
      <w:r>
        <w:tab/>
        <w:t xml:space="preserve"> </w:t>
      </w:r>
      <w:r>
        <w:tab/>
        <w:t xml:space="preserve"> </w:t>
      </w:r>
      <w:r>
        <w:tab/>
        <w:t xml:space="preserve"> </w:t>
      </w:r>
      <w:r>
        <w:tab/>
        <w:t xml:space="preserve"> </w:t>
      </w:r>
      <w:r>
        <w:tab/>
      </w:r>
      <w:r>
        <w:rPr>
          <w:b/>
        </w:rPr>
        <w:t xml:space="preserve">Sessão: </w:t>
      </w:r>
    </w:p>
    <w:p w:rsidR="00550862" w:rsidRDefault="00000000">
      <w:pPr>
        <w:tabs>
          <w:tab w:val="center" w:pos="2328"/>
          <w:tab w:val="center" w:pos="4252"/>
          <w:tab w:val="center" w:pos="6782"/>
        </w:tabs>
        <w:spacing w:after="13" w:line="251" w:lineRule="auto"/>
        <w:ind w:left="0" w:firstLine="0"/>
        <w:jc w:val="left"/>
      </w:pPr>
      <w:r>
        <w:rPr>
          <w:sz w:val="22"/>
        </w:rPr>
        <w:tab/>
      </w:r>
      <w:r>
        <w:rPr>
          <w:b/>
        </w:rPr>
        <w:t>André Clemente Lara de Oliveira</w:t>
      </w:r>
      <w:r>
        <w:t xml:space="preserve"> </w:t>
      </w:r>
      <w:r>
        <w:tab/>
        <w:t xml:space="preserve"> </w:t>
      </w:r>
      <w:r>
        <w:tab/>
      </w:r>
      <w:r>
        <w:rPr>
          <w:b/>
        </w:rPr>
        <w:t xml:space="preserve">ORDINÁRIA nº 5447, de 19/11/2025. </w:t>
      </w:r>
    </w:p>
    <w:p w:rsidR="00550862" w:rsidRDefault="00000000">
      <w:pPr>
        <w:pStyle w:val="Ttulo4"/>
        <w:tabs>
          <w:tab w:val="center" w:pos="1982"/>
          <w:tab w:val="center" w:pos="3542"/>
          <w:tab w:val="center" w:pos="4252"/>
          <w:tab w:val="center" w:pos="6973"/>
        </w:tabs>
        <w:ind w:left="0" w:firstLine="0"/>
      </w:pPr>
      <w:r>
        <w:rPr>
          <w:color w:val="000000"/>
          <w:sz w:val="22"/>
          <w:u w:val="none" w:color="000000"/>
        </w:rPr>
        <w:tab/>
      </w:r>
      <w:r>
        <w:rPr>
          <w:b/>
          <w:color w:val="000000"/>
          <w:u w:val="none" w:color="000000"/>
        </w:rPr>
        <w:t>Decisão por unanimidade</w:t>
      </w:r>
      <w:r>
        <w:rPr>
          <w:color w:val="000000"/>
          <w:u w:val="none" w:color="000000"/>
        </w:rPr>
        <w:t xml:space="preserve"> </w:t>
      </w:r>
      <w:r>
        <w:rPr>
          <w:color w:val="000000"/>
          <w:u w:val="none" w:color="000000"/>
        </w:rPr>
        <w:tab/>
        <w:t xml:space="preserve"> </w:t>
      </w:r>
      <w:r>
        <w:rPr>
          <w:color w:val="000000"/>
          <w:u w:val="none" w:color="000000"/>
        </w:rPr>
        <w:tab/>
        <w:t xml:space="preserve"> </w:t>
      </w:r>
      <w:r>
        <w:rPr>
          <w:color w:val="000000"/>
          <w:u w:val="none" w:color="000000"/>
        </w:rPr>
        <w:tab/>
      </w:r>
      <w:r>
        <w:t>Proc. nº 15828/2024</w:t>
      </w:r>
      <w:r>
        <w:rPr>
          <w:color w:val="2A69C5"/>
        </w:rPr>
        <w:t xml:space="preserve"> - </w:t>
      </w:r>
      <w:r>
        <w:t>Dec. nº 4649/2025</w:t>
      </w:r>
      <w:r>
        <w:rPr>
          <w:b/>
          <w:color w:val="000000"/>
          <w:u w:val="none" w:color="000000"/>
        </w:rPr>
        <w:t xml:space="preserve"> </w:t>
      </w:r>
    </w:p>
    <w:p w:rsidR="00550862" w:rsidRDefault="00000000">
      <w:pPr>
        <w:spacing w:after="0" w:line="259" w:lineRule="auto"/>
        <w:ind w:firstLine="0"/>
        <w:jc w:val="left"/>
      </w:pPr>
      <w:r>
        <w:rPr>
          <w:b/>
        </w:rPr>
        <w:t xml:space="preserve"> </w:t>
      </w:r>
    </w:p>
    <w:p w:rsidR="00550862" w:rsidRDefault="00000000">
      <w:pPr>
        <w:spacing w:after="13" w:line="251" w:lineRule="auto"/>
        <w:ind w:left="705" w:hanging="10"/>
      </w:pPr>
      <w:r>
        <w:rPr>
          <w:b/>
        </w:rPr>
        <w:t>Precedentes externos:</w:t>
      </w:r>
      <w:r>
        <w:t xml:space="preserve"> </w:t>
      </w:r>
    </w:p>
    <w:p w:rsidR="00550862" w:rsidRDefault="00000000">
      <w:pPr>
        <w:spacing w:after="5"/>
        <w:ind w:left="705" w:hanging="10"/>
        <w:jc w:val="left"/>
      </w:pPr>
      <w:r>
        <w:rPr>
          <w:rFonts w:ascii="Segoe UI" w:eastAsia="Segoe UI" w:hAnsi="Segoe UI" w:cs="Segoe UI"/>
          <w:color w:val="0563C1"/>
          <w:u w:val="single" w:color="0563C1"/>
        </w:rPr>
        <w:t>STF: RE 1415618 AgR/SP</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STJ: Tema Repetitivo nº 1009</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STJ: Resp nº 1.769.306/AL</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STJ: AgInt nos EDcl no AgInt no AREsp nº 1.932.799/SC</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STJ: AgInt no AREsp nº 3.338.853/SC</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TCU: Súmula nº 249</w:t>
      </w:r>
      <w:r>
        <w:rPr>
          <w:rFonts w:ascii="Segoe UI" w:eastAsia="Segoe UI" w:hAnsi="Segoe UI" w:cs="Segoe UI"/>
        </w:rPr>
        <w:t xml:space="preserve"> </w:t>
      </w:r>
    </w:p>
    <w:p w:rsidR="00550862" w:rsidRDefault="00000000">
      <w:pPr>
        <w:spacing w:after="0" w:line="259" w:lineRule="auto"/>
        <w:ind w:left="700" w:firstLine="0"/>
        <w:jc w:val="left"/>
      </w:pPr>
      <w:r>
        <w:rPr>
          <w:b/>
        </w:rPr>
        <w:t xml:space="preserve"> </w:t>
      </w:r>
    </w:p>
    <w:p w:rsidR="00550862" w:rsidRDefault="00000000">
      <w:pPr>
        <w:spacing w:after="13" w:line="251" w:lineRule="auto"/>
        <w:ind w:left="705" w:hanging="10"/>
      </w:pPr>
      <w:r>
        <w:rPr>
          <w:b/>
        </w:rPr>
        <w:t xml:space="preserve">Legislação relacionada: </w:t>
      </w:r>
      <w:r>
        <w:t xml:space="preserve"> </w:t>
      </w:r>
    </w:p>
    <w:p w:rsidR="00550862" w:rsidRDefault="00000000">
      <w:pPr>
        <w:spacing w:after="5"/>
        <w:ind w:left="705" w:hanging="10"/>
        <w:jc w:val="left"/>
      </w:pPr>
      <w:r>
        <w:rPr>
          <w:rFonts w:ascii="Segoe UI" w:eastAsia="Segoe UI" w:hAnsi="Segoe UI" w:cs="Segoe UI"/>
          <w:color w:val="0563C1"/>
          <w:u w:val="single" w:color="0563C1"/>
        </w:rPr>
        <w:t>Lei nº 8.112/1990, Art. 120.</w:t>
      </w:r>
      <w:r>
        <w:t xml:space="preserve"> </w:t>
      </w:r>
    </w:p>
    <w:p w:rsidR="00550862" w:rsidRDefault="00000000">
      <w:pPr>
        <w:spacing w:after="565" w:line="259" w:lineRule="auto"/>
        <w:ind w:left="700" w:firstLine="0"/>
        <w:jc w:val="left"/>
      </w:pPr>
      <w:r>
        <w:rPr>
          <w:rFonts w:ascii="Segoe UI" w:eastAsia="Segoe UI" w:hAnsi="Segoe UI" w:cs="Segoe UI"/>
        </w:rPr>
        <w:t xml:space="preserve"> </w:t>
      </w:r>
    </w:p>
    <w:p w:rsidR="00550862" w:rsidRDefault="00000000">
      <w:pPr>
        <w:tabs>
          <w:tab w:val="right" w:pos="10594"/>
        </w:tabs>
        <w:spacing w:after="13" w:line="251" w:lineRule="auto"/>
        <w:ind w:left="0" w:firstLine="0"/>
        <w:jc w:val="left"/>
      </w:pPr>
      <w:r>
        <w:rPr>
          <w:b/>
          <w:color w:val="0D7C3F"/>
          <w:sz w:val="40"/>
        </w:rPr>
        <w:t xml:space="preserve">3 </w:t>
      </w:r>
      <w:r>
        <w:rPr>
          <w:color w:val="004364"/>
          <w:sz w:val="40"/>
        </w:rPr>
        <w:t xml:space="preserve">  </w:t>
      </w:r>
      <w:r>
        <w:t xml:space="preserve"> </w:t>
      </w:r>
      <w:r>
        <w:tab/>
      </w:r>
      <w:r>
        <w:rPr>
          <w:b/>
        </w:rPr>
        <w:t xml:space="preserve">REPRESENTAÇÃO. MINISTÉRIO PÚBLICO JUNTO AO TRIBUNAL DE CONTAS DO DISTRITO </w:t>
      </w:r>
    </w:p>
    <w:p w:rsidR="00550862" w:rsidRDefault="00000000">
      <w:pPr>
        <w:spacing w:after="13" w:line="251" w:lineRule="auto"/>
        <w:ind w:left="705" w:hanging="10"/>
      </w:pPr>
      <w:r>
        <w:rPr>
          <w:b/>
        </w:rPr>
        <w:t xml:space="preserve">FEDERAL. DEFENSORIA PÚBLICA DO DISTRITO FEDERAL. ADICIONAL DE SUBSTITUIÇÃO. LICENÇA MATERNIDADE. LICENÇA PATERNIDADE. RESOLUÇÃO DO CONSELHO SUPERIOR. CONHECIMENTO. EXAME DO PEDIDO CAUTELAR. POSTERGADO. DETERMINAÇÕES. ANÁLISE DE MÉRITO. IMPROCEDÊNCIA. PEDIDO CAUTELAR. PREJUDICADO. </w:t>
      </w:r>
    </w:p>
    <w:p w:rsidR="00550862" w:rsidRDefault="00000000">
      <w:pPr>
        <w:spacing w:after="0" w:line="259" w:lineRule="auto"/>
        <w:ind w:left="1416" w:firstLine="0"/>
        <w:jc w:val="left"/>
      </w:pPr>
      <w:r>
        <w:t xml:space="preserve"> </w:t>
      </w:r>
    </w:p>
    <w:p w:rsidR="00550862" w:rsidRDefault="00000000">
      <w:pPr>
        <w:numPr>
          <w:ilvl w:val="0"/>
          <w:numId w:val="9"/>
        </w:numPr>
        <w:ind w:right="5"/>
      </w:pPr>
      <w:r>
        <w:t xml:space="preserve">Os períodos de usufruto de licença-maternidade e de licença-paternidade por Membros da Defensoria Pública do Distrito Federal devem ser considerados como efetivo exercício para pagamento de adicional de substituição, à luz da máxima proteção a ser conferida à maternidade, à paternidade e à infância.  </w:t>
      </w:r>
    </w:p>
    <w:p w:rsidR="00550862" w:rsidRDefault="00000000">
      <w:pPr>
        <w:spacing w:after="0" w:line="259" w:lineRule="auto"/>
        <w:ind w:left="1416" w:firstLine="0"/>
        <w:jc w:val="left"/>
      </w:pPr>
      <w:r>
        <w:t xml:space="preserve"> </w:t>
      </w:r>
    </w:p>
    <w:p w:rsidR="00550862" w:rsidRDefault="00000000">
      <w:pPr>
        <w:numPr>
          <w:ilvl w:val="0"/>
          <w:numId w:val="9"/>
        </w:numPr>
        <w:ind w:right="5"/>
      </w:pPr>
      <w:r>
        <w:t xml:space="preserve">O adicional de substituição, apesar de possuir caráter propter laborem, ostenta natureza remuneratória, a qual é insuscetível de redução durante o gozo de licenças de maternidade e de paternidade. </w:t>
      </w:r>
    </w:p>
    <w:p w:rsidR="00550862" w:rsidRDefault="00000000">
      <w:pPr>
        <w:spacing w:after="0" w:line="259" w:lineRule="auto"/>
        <w:ind w:left="1416" w:firstLine="0"/>
        <w:jc w:val="left"/>
      </w:pPr>
      <w:r>
        <w:t xml:space="preserve"> </w:t>
      </w:r>
    </w:p>
    <w:p w:rsidR="00550862" w:rsidRDefault="00000000">
      <w:pPr>
        <w:tabs>
          <w:tab w:val="center" w:pos="1110"/>
          <w:tab w:val="center" w:pos="2126"/>
          <w:tab w:val="center" w:pos="2831"/>
          <w:tab w:val="center" w:pos="3542"/>
          <w:tab w:val="center" w:pos="4252"/>
          <w:tab w:val="center" w:pos="5327"/>
        </w:tabs>
        <w:spacing w:after="13" w:line="251" w:lineRule="auto"/>
        <w:ind w:left="0" w:firstLine="0"/>
        <w:jc w:val="left"/>
      </w:pPr>
      <w:r>
        <w:rPr>
          <w:sz w:val="22"/>
        </w:rPr>
        <w:tab/>
      </w:r>
      <w:r>
        <w:rPr>
          <w:b/>
        </w:rPr>
        <w:t>Relator:</w:t>
      </w:r>
      <w:r>
        <w:t xml:space="preserve"> </w:t>
      </w:r>
      <w:r>
        <w:tab/>
        <w:t xml:space="preserve"> </w:t>
      </w:r>
      <w:r>
        <w:tab/>
        <w:t xml:space="preserve"> </w:t>
      </w:r>
      <w:r>
        <w:tab/>
        <w:t xml:space="preserve"> </w:t>
      </w:r>
      <w:r>
        <w:tab/>
        <w:t xml:space="preserve"> </w:t>
      </w:r>
      <w:r>
        <w:tab/>
      </w:r>
      <w:r>
        <w:rPr>
          <w:b/>
        </w:rPr>
        <w:t xml:space="preserve">Sessão: </w:t>
      </w:r>
    </w:p>
    <w:p w:rsidR="00550862" w:rsidRDefault="00000000">
      <w:pPr>
        <w:tabs>
          <w:tab w:val="center" w:pos="2328"/>
          <w:tab w:val="center" w:pos="4252"/>
          <w:tab w:val="center" w:pos="6782"/>
        </w:tabs>
        <w:spacing w:after="13" w:line="251" w:lineRule="auto"/>
        <w:ind w:left="0" w:firstLine="0"/>
        <w:jc w:val="left"/>
      </w:pPr>
      <w:r>
        <w:rPr>
          <w:sz w:val="22"/>
        </w:rPr>
        <w:tab/>
      </w:r>
      <w:r>
        <w:rPr>
          <w:b/>
        </w:rPr>
        <w:t>André Clemente Lara de Oliveira</w:t>
      </w:r>
      <w:r>
        <w:t xml:space="preserve"> </w:t>
      </w:r>
      <w:r>
        <w:tab/>
        <w:t xml:space="preserve"> </w:t>
      </w:r>
      <w:r>
        <w:tab/>
      </w:r>
      <w:r>
        <w:rPr>
          <w:b/>
        </w:rPr>
        <w:t xml:space="preserve">ORDINÁRIA nº 5449, de 10/12/2025. </w:t>
      </w:r>
    </w:p>
    <w:p w:rsidR="00550862" w:rsidRDefault="00000000">
      <w:pPr>
        <w:tabs>
          <w:tab w:val="center" w:pos="1983"/>
          <w:tab w:val="center" w:pos="3542"/>
          <w:tab w:val="center" w:pos="4252"/>
          <w:tab w:val="center" w:pos="6973"/>
        </w:tabs>
        <w:spacing w:after="0" w:line="259" w:lineRule="auto"/>
        <w:ind w:left="0" w:firstLine="0"/>
        <w:jc w:val="left"/>
      </w:pPr>
      <w:r>
        <w:rPr>
          <w:sz w:val="22"/>
        </w:rPr>
        <w:tab/>
      </w:r>
      <w:r>
        <w:rPr>
          <w:b/>
        </w:rPr>
        <w:t>Decisão por unanimidade</w:t>
      </w:r>
      <w:r>
        <w:t xml:space="preserve"> </w:t>
      </w:r>
      <w:r>
        <w:tab/>
        <w:t xml:space="preserve"> </w:t>
      </w:r>
      <w:r>
        <w:tab/>
        <w:t xml:space="preserve"> </w:t>
      </w:r>
      <w:r>
        <w:tab/>
      </w:r>
      <w:r>
        <w:rPr>
          <w:color w:val="0563C1"/>
          <w:u w:val="single" w:color="0563C1"/>
        </w:rPr>
        <w:t>Proc. nº 10492/2025</w:t>
      </w:r>
      <w:r>
        <w:rPr>
          <w:color w:val="2A69C5"/>
          <w:u w:val="single" w:color="0563C1"/>
        </w:rPr>
        <w:t xml:space="preserve"> - </w:t>
      </w:r>
      <w:r>
        <w:rPr>
          <w:color w:val="0563C1"/>
          <w:u w:val="single" w:color="0563C1"/>
        </w:rPr>
        <w:t>Dec. nº 4925/2025</w:t>
      </w:r>
      <w:r>
        <w:t xml:space="preserve"> </w:t>
      </w:r>
    </w:p>
    <w:p w:rsidR="00550862" w:rsidRDefault="00000000">
      <w:pPr>
        <w:spacing w:after="0" w:line="259" w:lineRule="auto"/>
        <w:ind w:left="0" w:firstLine="0"/>
        <w:jc w:val="left"/>
      </w:pPr>
      <w:r>
        <w:rPr>
          <w:color w:val="2A69C5"/>
        </w:rPr>
        <w:t xml:space="preserve"> </w:t>
      </w:r>
    </w:p>
    <w:p w:rsidR="00550862" w:rsidRDefault="00000000">
      <w:pPr>
        <w:spacing w:after="0" w:line="259" w:lineRule="auto"/>
        <w:ind w:left="0" w:firstLine="0"/>
        <w:jc w:val="left"/>
      </w:pPr>
      <w:r>
        <w:rPr>
          <w:color w:val="2A69C5"/>
        </w:rPr>
        <w:t xml:space="preserve"> </w:t>
      </w:r>
    </w:p>
    <w:p w:rsidR="00550862" w:rsidRDefault="00000000">
      <w:pPr>
        <w:spacing w:after="0" w:line="259" w:lineRule="auto"/>
        <w:ind w:left="0" w:firstLine="0"/>
        <w:jc w:val="left"/>
      </w:pPr>
      <w:r>
        <w:rPr>
          <w:color w:val="2A69C5"/>
        </w:rPr>
        <w:t xml:space="preserve"> </w:t>
      </w:r>
    </w:p>
    <w:p w:rsidR="00550862" w:rsidRDefault="00000000">
      <w:pPr>
        <w:pStyle w:val="Ttulo4"/>
        <w:spacing w:after="429"/>
        <w:ind w:left="0" w:firstLine="0"/>
      </w:pPr>
      <w:r>
        <w:rPr>
          <w:b/>
          <w:color w:val="389EB8"/>
          <w:sz w:val="32"/>
          <w:u w:val="none" w:color="000000"/>
        </w:rPr>
        <w:t xml:space="preserve">Processual (novembro a dezembro/2025) </w:t>
      </w:r>
    </w:p>
    <w:p w:rsidR="00550862" w:rsidRDefault="00000000">
      <w:pPr>
        <w:tabs>
          <w:tab w:val="right" w:pos="10594"/>
        </w:tabs>
        <w:spacing w:after="13" w:line="251" w:lineRule="auto"/>
        <w:ind w:left="0" w:firstLine="0"/>
        <w:jc w:val="left"/>
      </w:pPr>
      <w:r>
        <w:rPr>
          <w:b/>
          <w:color w:val="218796"/>
          <w:sz w:val="40"/>
        </w:rPr>
        <w:t xml:space="preserve">1 </w:t>
      </w:r>
      <w:r>
        <w:t xml:space="preserve">  </w:t>
      </w:r>
      <w:r>
        <w:tab/>
      </w:r>
      <w:r>
        <w:rPr>
          <w:b/>
        </w:rPr>
        <w:t xml:space="preserve">CONTAS. PROCESSUAL. SECRETARIA DE ESTADO DE DESENVOLVIMENTO SOCIAL - SEDES/DF. </w:t>
      </w:r>
    </w:p>
    <w:p w:rsidR="00550862" w:rsidRDefault="00000000">
      <w:pPr>
        <w:spacing w:after="13" w:line="251" w:lineRule="auto"/>
        <w:ind w:left="705" w:hanging="10"/>
      </w:pPr>
      <w:r>
        <w:rPr>
          <w:b/>
        </w:rPr>
        <w:t xml:space="preserve">TOMADA DE CONTAS ESPECIAL - TCE. PRESCRIÇÃO INTERCORRENTE. RECONHECIMENTO JUDICIAL. AFASTAMENTO DA COBRANÇA DO DÉBITO. ARQUIVAMENTO. </w:t>
      </w:r>
    </w:p>
    <w:p w:rsidR="00550862" w:rsidRDefault="00000000">
      <w:pPr>
        <w:spacing w:after="0" w:line="259" w:lineRule="auto"/>
        <w:ind w:left="1416" w:firstLine="0"/>
        <w:jc w:val="left"/>
      </w:pPr>
      <w:r>
        <w:t xml:space="preserve"> </w:t>
      </w:r>
    </w:p>
    <w:p w:rsidR="00550862" w:rsidRDefault="00000000">
      <w:pPr>
        <w:ind w:left="695" w:right="5"/>
      </w:pPr>
      <w:r>
        <w:t xml:space="preserve">Na hipótese de a pretensão de ressarcimento deduzida na Tomada de Contas Especial ser afastada por provimento judicial transitado em julgado, em face do reconhecimento de ocorrência da prescrição quinquenal ou intercorrente, cumpre ao Tribunal, considerado o caso concreto, tomar conhecimento da sentença e autorizar o arquivamento dos autos do procedimento apuratório. </w:t>
      </w:r>
    </w:p>
    <w:p w:rsidR="00550862" w:rsidRDefault="00000000">
      <w:pPr>
        <w:spacing w:after="0" w:line="259" w:lineRule="auto"/>
        <w:ind w:left="1416" w:firstLine="0"/>
        <w:jc w:val="left"/>
      </w:pPr>
      <w:r>
        <w:t xml:space="preserve"> </w:t>
      </w:r>
    </w:p>
    <w:p w:rsidR="00550862" w:rsidRDefault="00000000">
      <w:pPr>
        <w:tabs>
          <w:tab w:val="center" w:pos="1110"/>
          <w:tab w:val="center" w:pos="2126"/>
          <w:tab w:val="center" w:pos="2831"/>
          <w:tab w:val="center" w:pos="3542"/>
          <w:tab w:val="center" w:pos="4252"/>
          <w:tab w:val="center" w:pos="5327"/>
        </w:tabs>
        <w:spacing w:after="13" w:line="251" w:lineRule="auto"/>
        <w:ind w:left="0" w:firstLine="0"/>
        <w:jc w:val="left"/>
      </w:pPr>
      <w:r>
        <w:rPr>
          <w:sz w:val="22"/>
        </w:rPr>
        <w:tab/>
      </w:r>
      <w:r>
        <w:rPr>
          <w:b/>
        </w:rPr>
        <w:t>Relator:</w:t>
      </w:r>
      <w:r>
        <w:t xml:space="preserve"> </w:t>
      </w:r>
      <w:r>
        <w:tab/>
        <w:t xml:space="preserve"> </w:t>
      </w:r>
      <w:r>
        <w:tab/>
        <w:t xml:space="preserve"> </w:t>
      </w:r>
      <w:r>
        <w:tab/>
        <w:t xml:space="preserve"> </w:t>
      </w:r>
      <w:r>
        <w:tab/>
        <w:t xml:space="preserve"> </w:t>
      </w:r>
      <w:r>
        <w:tab/>
      </w:r>
      <w:r>
        <w:rPr>
          <w:b/>
        </w:rPr>
        <w:t xml:space="preserve">Sessão: </w:t>
      </w:r>
    </w:p>
    <w:p w:rsidR="00550862" w:rsidRDefault="00000000">
      <w:pPr>
        <w:tabs>
          <w:tab w:val="center" w:pos="2425"/>
          <w:tab w:val="center" w:pos="6781"/>
        </w:tabs>
        <w:spacing w:after="13" w:line="251" w:lineRule="auto"/>
        <w:ind w:left="0" w:firstLine="0"/>
        <w:jc w:val="left"/>
      </w:pPr>
      <w:r>
        <w:rPr>
          <w:sz w:val="22"/>
        </w:rPr>
        <w:tab/>
      </w:r>
      <w:r>
        <w:rPr>
          <w:b/>
        </w:rPr>
        <w:t>Vinícius Cardoso De Pinho Fragoso</w:t>
      </w:r>
      <w:r>
        <w:t xml:space="preserve">  </w:t>
      </w:r>
      <w:r>
        <w:tab/>
      </w:r>
      <w:r>
        <w:rPr>
          <w:b/>
        </w:rPr>
        <w:t xml:space="preserve">ORDINÁRIA nº 5445, de 05/11/2025. </w:t>
      </w:r>
    </w:p>
    <w:p w:rsidR="00550862" w:rsidRDefault="00000000">
      <w:pPr>
        <w:pStyle w:val="Ttulo5"/>
        <w:tabs>
          <w:tab w:val="center" w:pos="1982"/>
          <w:tab w:val="center" w:pos="3542"/>
          <w:tab w:val="center" w:pos="4252"/>
          <w:tab w:val="center" w:pos="6973"/>
        </w:tabs>
        <w:ind w:left="0" w:firstLine="0"/>
      </w:pPr>
      <w:r>
        <w:rPr>
          <w:color w:val="000000"/>
          <w:sz w:val="22"/>
          <w:u w:val="none" w:color="000000"/>
        </w:rPr>
        <w:tab/>
      </w:r>
      <w:r>
        <w:rPr>
          <w:b/>
          <w:color w:val="000000"/>
          <w:u w:val="none" w:color="000000"/>
        </w:rPr>
        <w:t>Decisão por unanimidade</w:t>
      </w:r>
      <w:r>
        <w:rPr>
          <w:color w:val="000000"/>
          <w:u w:val="none" w:color="000000"/>
        </w:rPr>
        <w:t xml:space="preserve"> </w:t>
      </w:r>
      <w:r>
        <w:rPr>
          <w:color w:val="000000"/>
          <w:u w:val="none" w:color="000000"/>
        </w:rPr>
        <w:tab/>
        <w:t xml:space="preserve"> </w:t>
      </w:r>
      <w:r>
        <w:rPr>
          <w:color w:val="000000"/>
          <w:u w:val="none" w:color="000000"/>
        </w:rPr>
        <w:tab/>
        <w:t xml:space="preserve"> </w:t>
      </w:r>
      <w:r>
        <w:rPr>
          <w:color w:val="000000"/>
          <w:u w:val="none" w:color="000000"/>
        </w:rPr>
        <w:tab/>
      </w:r>
      <w:r>
        <w:t>Proc. nº 12230/2024</w:t>
      </w:r>
      <w:r>
        <w:rPr>
          <w:color w:val="2A69C5"/>
        </w:rPr>
        <w:t xml:space="preserve"> - </w:t>
      </w:r>
      <w:r>
        <w:t>Dec. nº 4391/2025</w:t>
      </w:r>
      <w:r>
        <w:rPr>
          <w:b/>
          <w:color w:val="000000"/>
          <w:u w:val="none" w:color="000000"/>
        </w:rPr>
        <w:t xml:space="preserve"> </w:t>
      </w:r>
    </w:p>
    <w:p w:rsidR="00550862" w:rsidRDefault="00000000">
      <w:pPr>
        <w:spacing w:after="0" w:line="259" w:lineRule="auto"/>
        <w:ind w:firstLine="0"/>
        <w:jc w:val="left"/>
      </w:pPr>
      <w:r>
        <w:rPr>
          <w:b/>
        </w:rPr>
        <w:t xml:space="preserve"> </w:t>
      </w:r>
    </w:p>
    <w:p w:rsidR="00550862" w:rsidRDefault="00000000">
      <w:pPr>
        <w:spacing w:after="13" w:line="251" w:lineRule="auto"/>
        <w:ind w:left="705" w:hanging="10"/>
      </w:pPr>
      <w:r>
        <w:rPr>
          <w:b/>
        </w:rPr>
        <w:t xml:space="preserve">Legislação relacionada: </w:t>
      </w:r>
      <w:r>
        <w:t xml:space="preserve"> </w:t>
      </w:r>
    </w:p>
    <w:p w:rsidR="00550862" w:rsidRDefault="00000000">
      <w:pPr>
        <w:spacing w:after="5"/>
        <w:ind w:left="705" w:hanging="10"/>
        <w:jc w:val="left"/>
      </w:pPr>
      <w:r>
        <w:rPr>
          <w:rFonts w:ascii="Segoe UI" w:eastAsia="Segoe UI" w:hAnsi="Segoe UI" w:cs="Segoe UI"/>
          <w:color w:val="0563C1"/>
          <w:u w:val="single" w:color="0563C1"/>
        </w:rPr>
        <w:t>Decisão normativa nº 5/2021.</w:t>
      </w:r>
      <w:r>
        <w:t xml:space="preserve"> </w:t>
      </w:r>
    </w:p>
    <w:p w:rsidR="00550862" w:rsidRDefault="00000000">
      <w:pPr>
        <w:spacing w:after="454" w:line="259" w:lineRule="auto"/>
        <w:ind w:firstLine="0"/>
        <w:jc w:val="left"/>
      </w:pPr>
      <w:r>
        <w:rPr>
          <w:rFonts w:ascii="Segoe UI" w:eastAsia="Segoe UI" w:hAnsi="Segoe UI" w:cs="Segoe UI"/>
        </w:rPr>
        <w:t xml:space="preserve"> </w:t>
      </w:r>
    </w:p>
    <w:p w:rsidR="00550862" w:rsidRDefault="00000000">
      <w:pPr>
        <w:spacing w:after="13" w:line="251" w:lineRule="auto"/>
        <w:ind w:hanging="500"/>
      </w:pPr>
      <w:r>
        <w:rPr>
          <w:b/>
          <w:color w:val="4A8FA1"/>
          <w:sz w:val="40"/>
        </w:rPr>
        <w:t>2</w:t>
      </w:r>
      <w:r>
        <w:rPr>
          <w:color w:val="004364"/>
          <w:sz w:val="40"/>
        </w:rPr>
        <w:t xml:space="preserve"> </w:t>
      </w:r>
      <w:r>
        <w:t xml:space="preserve">  </w:t>
      </w:r>
      <w:r>
        <w:tab/>
      </w:r>
      <w:r>
        <w:rPr>
          <w:b/>
        </w:rPr>
        <w:t xml:space="preserve">PROCESSUAL. </w:t>
      </w:r>
      <w:r>
        <w:rPr>
          <w:b/>
        </w:rPr>
        <w:tab/>
        <w:t xml:space="preserve">REPRESENTAÇÃO. </w:t>
      </w:r>
      <w:r>
        <w:rPr>
          <w:b/>
        </w:rPr>
        <w:tab/>
        <w:t xml:space="preserve">ADMISSIBILIDADE. </w:t>
      </w:r>
      <w:r>
        <w:rPr>
          <w:b/>
        </w:rPr>
        <w:tab/>
        <w:t xml:space="preserve">FISCALIZAÇÃO. </w:t>
      </w:r>
      <w:r>
        <w:rPr>
          <w:b/>
        </w:rPr>
        <w:tab/>
        <w:t>SELETIVIDADE. PRIORIZAÇÃO.</w:t>
      </w:r>
      <w:r>
        <w:rPr>
          <w:color w:val="004364"/>
          <w:sz w:val="40"/>
        </w:rPr>
        <w:t xml:space="preserve"> </w:t>
      </w:r>
    </w:p>
    <w:p w:rsidR="00550862" w:rsidRDefault="00000000">
      <w:pPr>
        <w:spacing w:after="0" w:line="259" w:lineRule="auto"/>
        <w:ind w:left="1416" w:firstLine="0"/>
        <w:jc w:val="left"/>
      </w:pPr>
      <w:r>
        <w:t xml:space="preserve"> </w:t>
      </w:r>
    </w:p>
    <w:p w:rsidR="00550862" w:rsidRDefault="00000000">
      <w:pPr>
        <w:ind w:left="695" w:right="5"/>
      </w:pPr>
      <w:r>
        <w:t xml:space="preserve">É cabível o conhecimento de representação que, conquanto não requeira atuação corretiva imediata, evidencie problema complexo e sistêmico que configure objeto de controle passível de avaliação enquanto política pública ou mediante auditoria operacional, devendo o tema ser incluído na sistemática de planejamento das fiscalizações do Tribunal, em consonância com a metodologia de seletividade e priorização vigente, de acordo com critérios objetivos que orientam a atuação do controle externo. </w:t>
      </w:r>
    </w:p>
    <w:p w:rsidR="00550862" w:rsidRDefault="00000000">
      <w:pPr>
        <w:spacing w:after="0" w:line="259" w:lineRule="auto"/>
        <w:ind w:left="1416" w:firstLine="0"/>
        <w:jc w:val="left"/>
      </w:pPr>
      <w:r>
        <w:t xml:space="preserve">  </w:t>
      </w:r>
    </w:p>
    <w:p w:rsidR="00550862" w:rsidRDefault="00000000">
      <w:pPr>
        <w:tabs>
          <w:tab w:val="center" w:pos="1110"/>
          <w:tab w:val="center" w:pos="2126"/>
          <w:tab w:val="center" w:pos="2831"/>
          <w:tab w:val="center" w:pos="3542"/>
          <w:tab w:val="center" w:pos="4252"/>
          <w:tab w:val="center" w:pos="5327"/>
        </w:tabs>
        <w:spacing w:after="13" w:line="251" w:lineRule="auto"/>
        <w:ind w:left="0" w:firstLine="0"/>
        <w:jc w:val="left"/>
      </w:pPr>
      <w:r>
        <w:rPr>
          <w:sz w:val="22"/>
        </w:rPr>
        <w:tab/>
      </w:r>
      <w:r>
        <w:rPr>
          <w:b/>
        </w:rPr>
        <w:t>Relator:</w:t>
      </w:r>
      <w:r>
        <w:t xml:space="preserve"> </w:t>
      </w:r>
      <w:r>
        <w:tab/>
        <w:t xml:space="preserve"> </w:t>
      </w:r>
      <w:r>
        <w:tab/>
        <w:t xml:space="preserve"> </w:t>
      </w:r>
      <w:r>
        <w:tab/>
        <w:t xml:space="preserve"> </w:t>
      </w:r>
      <w:r>
        <w:tab/>
        <w:t xml:space="preserve"> </w:t>
      </w:r>
      <w:r>
        <w:tab/>
      </w:r>
      <w:r>
        <w:rPr>
          <w:b/>
        </w:rPr>
        <w:t xml:space="preserve">Sessão:   </w:t>
      </w:r>
    </w:p>
    <w:p w:rsidR="00550862" w:rsidRDefault="00000000">
      <w:pPr>
        <w:tabs>
          <w:tab w:val="center" w:pos="2300"/>
          <w:tab w:val="center" w:pos="4252"/>
          <w:tab w:val="center" w:pos="6781"/>
        </w:tabs>
        <w:spacing w:after="13" w:line="251" w:lineRule="auto"/>
        <w:ind w:left="0" w:firstLine="0"/>
        <w:jc w:val="left"/>
      </w:pPr>
      <w:r>
        <w:rPr>
          <w:sz w:val="22"/>
        </w:rPr>
        <w:tab/>
      </w:r>
      <w:r>
        <w:rPr>
          <w:b/>
        </w:rPr>
        <w:t>Márcio Michel Alves De Oliveira</w:t>
      </w:r>
      <w:r>
        <w:t xml:space="preserve"> </w:t>
      </w:r>
      <w:r>
        <w:tab/>
        <w:t xml:space="preserve"> </w:t>
      </w:r>
      <w:r>
        <w:tab/>
      </w:r>
      <w:r>
        <w:rPr>
          <w:b/>
        </w:rPr>
        <w:t xml:space="preserve">ORDINÁRIA nº 5446, de 12/11/2025. </w:t>
      </w:r>
    </w:p>
    <w:p w:rsidR="00550862" w:rsidRDefault="00000000">
      <w:pPr>
        <w:pStyle w:val="Ttulo5"/>
        <w:tabs>
          <w:tab w:val="center" w:pos="1982"/>
          <w:tab w:val="center" w:pos="3542"/>
          <w:tab w:val="center" w:pos="4252"/>
          <w:tab w:val="center" w:pos="6973"/>
        </w:tabs>
        <w:ind w:left="0" w:firstLine="0"/>
      </w:pPr>
      <w:r>
        <w:rPr>
          <w:color w:val="000000"/>
          <w:sz w:val="22"/>
          <w:u w:val="none" w:color="000000"/>
        </w:rPr>
        <w:tab/>
      </w:r>
      <w:r>
        <w:rPr>
          <w:b/>
          <w:color w:val="000000"/>
          <w:u w:val="none" w:color="000000"/>
        </w:rPr>
        <w:t>Decisão por unanimidade</w:t>
      </w:r>
      <w:r>
        <w:rPr>
          <w:color w:val="000000"/>
          <w:u w:val="none" w:color="000000"/>
        </w:rPr>
        <w:t xml:space="preserve"> </w:t>
      </w:r>
      <w:r>
        <w:rPr>
          <w:color w:val="000000"/>
          <w:u w:val="none" w:color="000000"/>
        </w:rPr>
        <w:tab/>
        <w:t xml:space="preserve"> </w:t>
      </w:r>
      <w:r>
        <w:rPr>
          <w:color w:val="000000"/>
          <w:u w:val="none" w:color="000000"/>
        </w:rPr>
        <w:tab/>
        <w:t xml:space="preserve"> </w:t>
      </w:r>
      <w:r>
        <w:rPr>
          <w:color w:val="000000"/>
          <w:u w:val="none" w:color="000000"/>
        </w:rPr>
        <w:tab/>
      </w:r>
      <w:r>
        <w:t>Proc. nº 12675/2025</w:t>
      </w:r>
      <w:r>
        <w:rPr>
          <w:color w:val="2A69C5"/>
        </w:rPr>
        <w:t xml:space="preserve"> - </w:t>
      </w:r>
      <w:r>
        <w:t>Dec. nº 4522/2025</w:t>
      </w:r>
      <w:r>
        <w:rPr>
          <w:b/>
          <w:color w:val="000000"/>
          <w:u w:val="none" w:color="000000"/>
        </w:rPr>
        <w:t xml:space="preserve"> </w:t>
      </w:r>
    </w:p>
    <w:p w:rsidR="00550862" w:rsidRDefault="00000000">
      <w:pPr>
        <w:spacing w:after="0" w:line="259" w:lineRule="auto"/>
        <w:ind w:firstLine="0"/>
        <w:jc w:val="left"/>
      </w:pPr>
      <w:r>
        <w:t xml:space="preserve"> </w:t>
      </w:r>
    </w:p>
    <w:p w:rsidR="00550862" w:rsidRDefault="00000000">
      <w:pPr>
        <w:spacing w:after="13" w:line="251" w:lineRule="auto"/>
        <w:ind w:left="705" w:hanging="10"/>
      </w:pPr>
      <w:r>
        <w:rPr>
          <w:b/>
        </w:rPr>
        <w:t xml:space="preserve">Legislação relacionada: </w:t>
      </w:r>
      <w:r>
        <w:t xml:space="preserve"> </w:t>
      </w:r>
    </w:p>
    <w:p w:rsidR="00550862" w:rsidRDefault="00000000">
      <w:pPr>
        <w:spacing w:after="5"/>
        <w:ind w:left="705" w:right="3628" w:hanging="10"/>
        <w:jc w:val="left"/>
      </w:pPr>
      <w:r>
        <w:rPr>
          <w:rFonts w:ascii="Segoe UI" w:eastAsia="Segoe UI" w:hAnsi="Segoe UI" w:cs="Segoe UI"/>
          <w:color w:val="0563C1"/>
          <w:u w:val="single" w:color="0563C1"/>
        </w:rPr>
        <w:t>Regimento Interno do TCDF, Art. 230, § 2º, III.</w:t>
      </w:r>
      <w:r>
        <w:rPr>
          <w:rFonts w:ascii="Segoe UI" w:eastAsia="Segoe UI" w:hAnsi="Segoe UI" w:cs="Segoe UI"/>
          <w:color w:val="0563C1"/>
        </w:rPr>
        <w:t xml:space="preserve">  </w:t>
      </w:r>
      <w:r>
        <w:rPr>
          <w:rFonts w:ascii="Segoe UI" w:eastAsia="Segoe UI" w:hAnsi="Segoe UI" w:cs="Segoe UI"/>
        </w:rPr>
        <w:t xml:space="preserve">  </w:t>
      </w:r>
      <w:r>
        <w:t xml:space="preserve"> </w:t>
      </w:r>
      <w:r>
        <w:rPr>
          <w:rFonts w:ascii="Segoe UI" w:eastAsia="Segoe UI" w:hAnsi="Segoe UI" w:cs="Segoe UI"/>
          <w:color w:val="0563C1"/>
          <w:u w:val="single" w:color="0563C1"/>
        </w:rPr>
        <w:t>Regimento Interno do TCDF, Art. 230, § 2º, IV.</w:t>
      </w:r>
      <w:r>
        <w:rPr>
          <w:rFonts w:ascii="Segoe UI" w:eastAsia="Segoe UI" w:hAnsi="Segoe UI" w:cs="Segoe UI"/>
        </w:rPr>
        <w:t xml:space="preserve"> </w:t>
      </w:r>
    </w:p>
    <w:p w:rsidR="00550862" w:rsidRDefault="00000000">
      <w:pPr>
        <w:spacing w:after="83" w:line="259" w:lineRule="auto"/>
        <w:ind w:left="0" w:firstLine="0"/>
        <w:jc w:val="left"/>
      </w:pPr>
      <w:r>
        <w:rPr>
          <w:rFonts w:ascii="Segoe UI" w:eastAsia="Segoe UI" w:hAnsi="Segoe UI" w:cs="Segoe UI"/>
        </w:rPr>
        <w:t xml:space="preserve"> </w:t>
      </w:r>
    </w:p>
    <w:p w:rsidR="00550862" w:rsidRDefault="00000000">
      <w:pPr>
        <w:spacing w:after="59" w:line="259" w:lineRule="auto"/>
        <w:ind w:left="0" w:firstLine="0"/>
        <w:jc w:val="left"/>
      </w:pPr>
      <w:r>
        <w:rPr>
          <w:b/>
          <w:color w:val="004582"/>
          <w:sz w:val="32"/>
        </w:rPr>
        <w:t xml:space="preserve"> </w:t>
      </w:r>
    </w:p>
    <w:p w:rsidR="00550862" w:rsidRDefault="00000000">
      <w:pPr>
        <w:pStyle w:val="Ttulo5"/>
        <w:ind w:left="0" w:firstLine="0"/>
      </w:pPr>
      <w:r>
        <w:rPr>
          <w:b/>
          <w:color w:val="C45911"/>
          <w:sz w:val="32"/>
          <w:u w:val="none" w:color="000000"/>
        </w:rPr>
        <w:t xml:space="preserve">Gestão Pública (novembro a dezembro/2025) </w:t>
      </w:r>
    </w:p>
    <w:p w:rsidR="00550862" w:rsidRDefault="00000000">
      <w:pPr>
        <w:tabs>
          <w:tab w:val="center" w:pos="285"/>
          <w:tab w:val="center" w:pos="710"/>
          <w:tab w:val="center" w:pos="1416"/>
          <w:tab w:val="right" w:pos="10594"/>
        </w:tabs>
        <w:spacing w:after="13" w:line="251" w:lineRule="auto"/>
        <w:ind w:left="0" w:firstLine="0"/>
        <w:jc w:val="left"/>
      </w:pPr>
      <w:r>
        <w:rPr>
          <w:sz w:val="22"/>
        </w:rPr>
        <w:tab/>
      </w:r>
      <w:r>
        <w:rPr>
          <w:b/>
          <w:color w:val="C45911"/>
          <w:sz w:val="40"/>
        </w:rPr>
        <w:t>1</w:t>
      </w:r>
      <w:r>
        <w:t xml:space="preserve"> </w:t>
      </w:r>
      <w:r>
        <w:tab/>
        <w:t xml:space="preserve"> </w:t>
      </w:r>
      <w:r>
        <w:tab/>
        <w:t xml:space="preserve"> </w:t>
      </w:r>
      <w:r>
        <w:tab/>
      </w:r>
      <w:r>
        <w:rPr>
          <w:b/>
        </w:rPr>
        <w:t xml:space="preserve">GESTÃO PÚBLICA. REPRESENTAÇÃO. POLÍTICA PÚBLICA. QUESTÃO ESTRUTURAL. </w:t>
      </w:r>
    </w:p>
    <w:p w:rsidR="00550862" w:rsidRDefault="00000000">
      <w:pPr>
        <w:spacing w:after="13" w:line="251" w:lineRule="auto"/>
        <w:ind w:left="705" w:hanging="10"/>
      </w:pPr>
      <w:r>
        <w:rPr>
          <w:b/>
        </w:rPr>
        <w:t xml:space="preserve">CONTEXTUALIZAÇÃO DO CONTROLE. OBSTÁCULOS E DIFICULDADES. LINDB. </w:t>
      </w:r>
    </w:p>
    <w:p w:rsidR="00550862" w:rsidRDefault="00000000">
      <w:pPr>
        <w:spacing w:after="0" w:line="259" w:lineRule="auto"/>
        <w:ind w:left="1416" w:firstLine="0"/>
        <w:jc w:val="left"/>
      </w:pPr>
      <w:r>
        <w:t xml:space="preserve"> </w:t>
      </w:r>
    </w:p>
    <w:p w:rsidR="00550862" w:rsidRDefault="00000000">
      <w:pPr>
        <w:ind w:left="695" w:right="5"/>
      </w:pPr>
      <w:r>
        <w:t xml:space="preserve">Ainda que constatada desconformidade na execução de política pública, não se impõe imediata correção da falha por meio de determinações quando se tratar de questão estrutural que demanda abordagem gradual e planejada, pois a atuação do controle externo deve considerar os obstáculos e as dificuldades reais do gestor, ainda mais em um contexto de multiplicidade de demandas e escassez de recursos (art. 22, caput, da LINDB). </w:t>
      </w:r>
    </w:p>
    <w:p w:rsidR="00550862" w:rsidRDefault="00000000">
      <w:pPr>
        <w:spacing w:after="0" w:line="259" w:lineRule="auto"/>
        <w:ind w:left="1416" w:firstLine="0"/>
        <w:jc w:val="left"/>
      </w:pPr>
      <w:r>
        <w:t xml:space="preserve"> </w:t>
      </w:r>
    </w:p>
    <w:p w:rsidR="00550862" w:rsidRDefault="00000000">
      <w:pPr>
        <w:tabs>
          <w:tab w:val="center" w:pos="1110"/>
          <w:tab w:val="center" w:pos="2126"/>
          <w:tab w:val="center" w:pos="2831"/>
          <w:tab w:val="center" w:pos="3542"/>
          <w:tab w:val="center" w:pos="4252"/>
          <w:tab w:val="center" w:pos="5327"/>
        </w:tabs>
        <w:spacing w:after="13" w:line="251" w:lineRule="auto"/>
        <w:ind w:left="0" w:firstLine="0"/>
        <w:jc w:val="left"/>
      </w:pPr>
      <w:r>
        <w:rPr>
          <w:sz w:val="22"/>
        </w:rPr>
        <w:tab/>
      </w:r>
      <w:r>
        <w:rPr>
          <w:b/>
        </w:rPr>
        <w:t>Relator:</w:t>
      </w:r>
      <w:r>
        <w:t xml:space="preserve"> </w:t>
      </w:r>
      <w:r>
        <w:tab/>
        <w:t xml:space="preserve"> </w:t>
      </w:r>
      <w:r>
        <w:tab/>
        <w:t xml:space="preserve"> </w:t>
      </w:r>
      <w:r>
        <w:tab/>
        <w:t xml:space="preserve"> </w:t>
      </w:r>
      <w:r>
        <w:tab/>
        <w:t xml:space="preserve"> </w:t>
      </w:r>
      <w:r>
        <w:tab/>
      </w:r>
      <w:r>
        <w:rPr>
          <w:b/>
        </w:rPr>
        <w:t xml:space="preserve">Sessão: </w:t>
      </w:r>
    </w:p>
    <w:p w:rsidR="00550862" w:rsidRDefault="00000000">
      <w:pPr>
        <w:tabs>
          <w:tab w:val="center" w:pos="2300"/>
          <w:tab w:val="center" w:pos="4252"/>
          <w:tab w:val="center" w:pos="6782"/>
        </w:tabs>
        <w:spacing w:after="13" w:line="251" w:lineRule="auto"/>
        <w:ind w:left="0" w:firstLine="0"/>
        <w:jc w:val="left"/>
      </w:pPr>
      <w:r>
        <w:rPr>
          <w:sz w:val="22"/>
        </w:rPr>
        <w:tab/>
      </w:r>
      <w:r>
        <w:rPr>
          <w:b/>
        </w:rPr>
        <w:t>Márcio Michel Alves De Oliveira</w:t>
      </w:r>
      <w:r>
        <w:t xml:space="preserve"> </w:t>
      </w:r>
      <w:r>
        <w:tab/>
        <w:t xml:space="preserve"> </w:t>
      </w:r>
      <w:r>
        <w:tab/>
      </w:r>
      <w:r>
        <w:rPr>
          <w:b/>
        </w:rPr>
        <w:t xml:space="preserve">ORDINÁRIA nº 5448, de 26/11/2025. </w:t>
      </w:r>
    </w:p>
    <w:p w:rsidR="00550862" w:rsidRDefault="00000000">
      <w:pPr>
        <w:pStyle w:val="Ttulo6"/>
        <w:tabs>
          <w:tab w:val="center" w:pos="1982"/>
          <w:tab w:val="center" w:pos="3542"/>
          <w:tab w:val="center" w:pos="4252"/>
          <w:tab w:val="center" w:pos="6973"/>
        </w:tabs>
        <w:ind w:left="0" w:firstLine="0"/>
      </w:pPr>
      <w:r>
        <w:rPr>
          <w:color w:val="000000"/>
          <w:sz w:val="22"/>
          <w:u w:val="none" w:color="000000"/>
        </w:rPr>
        <w:tab/>
      </w:r>
      <w:r>
        <w:rPr>
          <w:b/>
          <w:color w:val="000000"/>
          <w:u w:val="none" w:color="000000"/>
        </w:rPr>
        <w:t>Decisão por unanimidade</w:t>
      </w:r>
      <w:r>
        <w:rPr>
          <w:color w:val="000000"/>
          <w:u w:val="none" w:color="000000"/>
        </w:rPr>
        <w:t xml:space="preserve"> </w:t>
      </w:r>
      <w:r>
        <w:rPr>
          <w:color w:val="000000"/>
          <w:u w:val="none" w:color="000000"/>
        </w:rPr>
        <w:tab/>
        <w:t xml:space="preserve"> </w:t>
      </w:r>
      <w:r>
        <w:rPr>
          <w:color w:val="000000"/>
          <w:u w:val="none" w:color="000000"/>
        </w:rPr>
        <w:tab/>
        <w:t xml:space="preserve"> </w:t>
      </w:r>
      <w:r>
        <w:rPr>
          <w:color w:val="000000"/>
          <w:u w:val="none" w:color="000000"/>
        </w:rPr>
        <w:tab/>
      </w:r>
      <w:r>
        <w:t>Proc. nº 15380/2024</w:t>
      </w:r>
      <w:r>
        <w:rPr>
          <w:color w:val="2A69C5"/>
        </w:rPr>
        <w:t xml:space="preserve"> - </w:t>
      </w:r>
      <w:r>
        <w:t>Dec. nº 4716/2025</w:t>
      </w:r>
      <w:r>
        <w:rPr>
          <w:color w:val="000000"/>
          <w:u w:val="none" w:color="000000"/>
        </w:rPr>
        <w:t xml:space="preserve"> </w:t>
      </w:r>
    </w:p>
    <w:p w:rsidR="00550862" w:rsidRDefault="00000000">
      <w:pPr>
        <w:spacing w:after="0" w:line="259" w:lineRule="auto"/>
        <w:ind w:firstLine="0"/>
        <w:jc w:val="left"/>
      </w:pPr>
      <w:r>
        <w:rPr>
          <w:b/>
        </w:rPr>
        <w:t xml:space="preserve"> </w:t>
      </w:r>
    </w:p>
    <w:p w:rsidR="00550862" w:rsidRDefault="00000000">
      <w:pPr>
        <w:spacing w:after="13" w:line="251" w:lineRule="auto"/>
        <w:ind w:left="705" w:hanging="10"/>
      </w:pPr>
      <w:r>
        <w:rPr>
          <w:b/>
        </w:rPr>
        <w:t xml:space="preserve">Legislação relacionada: </w:t>
      </w:r>
      <w:r>
        <w:t xml:space="preserve"> </w:t>
      </w:r>
    </w:p>
    <w:p w:rsidR="00550862" w:rsidRDefault="00000000">
      <w:pPr>
        <w:spacing w:after="5"/>
        <w:ind w:left="705" w:hanging="10"/>
        <w:jc w:val="left"/>
      </w:pPr>
      <w:r>
        <w:rPr>
          <w:rFonts w:ascii="Segoe UI" w:eastAsia="Segoe UI" w:hAnsi="Segoe UI" w:cs="Segoe UI"/>
          <w:color w:val="0563C1"/>
          <w:u w:val="single" w:color="0563C1"/>
        </w:rPr>
        <w:t>Lei nº 13.005/2014.</w:t>
      </w:r>
      <w:r>
        <w:rPr>
          <w:rFonts w:ascii="Segoe UI" w:eastAsia="Segoe UI" w:hAnsi="Segoe UI" w:cs="Segoe UI"/>
        </w:rPr>
        <w:t xml:space="preserve">   </w:t>
      </w:r>
      <w:r>
        <w:t xml:space="preserve"> </w:t>
      </w:r>
    </w:p>
    <w:p w:rsidR="00550862" w:rsidRDefault="00000000">
      <w:pPr>
        <w:spacing w:after="5"/>
        <w:ind w:left="705" w:hanging="10"/>
        <w:jc w:val="left"/>
      </w:pPr>
      <w:r>
        <w:rPr>
          <w:rFonts w:ascii="Segoe UI" w:eastAsia="Segoe UI" w:hAnsi="Segoe UI" w:cs="Segoe UI"/>
          <w:color w:val="0563C1"/>
          <w:u w:val="single" w:color="0563C1"/>
        </w:rPr>
        <w:t>Lei nº 12.244/2010, Art. 3º.</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Decreto-lei nº 4.657/1942 - LINDB, Art. 22.</w:t>
      </w:r>
      <w:r>
        <w:rPr>
          <w:rFonts w:ascii="Segoe UI" w:eastAsia="Segoe UI" w:hAnsi="Segoe UI" w:cs="Segoe UI"/>
        </w:rPr>
        <w:t xml:space="preserve"> </w:t>
      </w:r>
    </w:p>
    <w:p w:rsidR="00550862" w:rsidRDefault="00000000">
      <w:pPr>
        <w:spacing w:after="647" w:line="259" w:lineRule="auto"/>
        <w:ind w:left="700" w:firstLine="0"/>
        <w:jc w:val="left"/>
      </w:pPr>
      <w:r>
        <w:rPr>
          <w:rFonts w:ascii="Segoe UI" w:eastAsia="Segoe UI" w:hAnsi="Segoe UI" w:cs="Segoe UI"/>
        </w:rPr>
        <w:t xml:space="preserve"> </w:t>
      </w:r>
    </w:p>
    <w:p w:rsidR="00550862" w:rsidRDefault="00000000">
      <w:pPr>
        <w:tabs>
          <w:tab w:val="center" w:pos="324"/>
          <w:tab w:val="center" w:pos="710"/>
          <w:tab w:val="center" w:pos="1416"/>
          <w:tab w:val="right" w:pos="10594"/>
        </w:tabs>
        <w:spacing w:after="13" w:line="251" w:lineRule="auto"/>
        <w:ind w:left="0" w:firstLine="0"/>
        <w:jc w:val="left"/>
      </w:pPr>
      <w:r>
        <w:rPr>
          <w:sz w:val="22"/>
        </w:rPr>
        <w:tab/>
      </w:r>
      <w:r>
        <w:rPr>
          <w:b/>
          <w:color w:val="C45911"/>
          <w:sz w:val="40"/>
        </w:rPr>
        <w:t>2</w:t>
      </w:r>
      <w:r>
        <w:t xml:space="preserve"> </w:t>
      </w:r>
      <w:r>
        <w:tab/>
        <w:t xml:space="preserve"> </w:t>
      </w:r>
      <w:r>
        <w:tab/>
        <w:t xml:space="preserve"> </w:t>
      </w:r>
      <w:r>
        <w:tab/>
      </w:r>
      <w:r>
        <w:rPr>
          <w:b/>
        </w:rPr>
        <w:t xml:space="preserve">REPRESENTAÇÃO. MINISTÉRIO PÚBLICO JUNTO AO TRIBUNAL DE CONTAS DO </w:t>
      </w:r>
    </w:p>
    <w:p w:rsidR="00550862" w:rsidRDefault="00000000">
      <w:pPr>
        <w:spacing w:after="13" w:line="251" w:lineRule="auto"/>
        <w:ind w:left="705" w:hanging="10"/>
      </w:pPr>
      <w:r>
        <w:rPr>
          <w:b/>
        </w:rPr>
        <w:t>DISTRITO FEDERAL. COMPANHIA IMOBILIÁRIA DE BRASÍLIA. OCUPAÇÕES IRREGULARES DE ÁREA PÚBLICA. REGULARIZAÇÃO DAS OCUPAÇÕES. TAXA DE OCUPAÇÃO. COBRANÇA. DEFESA DAS ASSOCIAÇÕES. IMPROCEDÊNCIA. INTERPOSIÇÃO DE PEDIDOS DE REEXAME. CONHECIDOS. EXAME DE MÉRITO. PROCEDÊNCIA.</w:t>
      </w:r>
      <w:r>
        <w:t xml:space="preserve"> </w:t>
      </w:r>
      <w:r>
        <w:rPr>
          <w:b/>
        </w:rPr>
        <w:t xml:space="preserve"> </w:t>
      </w:r>
    </w:p>
    <w:p w:rsidR="00550862" w:rsidRDefault="00000000">
      <w:pPr>
        <w:spacing w:after="0" w:line="259" w:lineRule="auto"/>
        <w:ind w:left="1416" w:firstLine="0"/>
        <w:jc w:val="left"/>
      </w:pPr>
      <w:r>
        <w:t xml:space="preserve"> </w:t>
      </w:r>
    </w:p>
    <w:p w:rsidR="00550862" w:rsidRDefault="00000000">
      <w:pPr>
        <w:numPr>
          <w:ilvl w:val="0"/>
          <w:numId w:val="10"/>
        </w:numPr>
        <w:ind w:right="5"/>
      </w:pPr>
      <w:r>
        <w:t xml:space="preserve">Não se considera fundamentada a decisão que utilize conceitos jurídicos indeterminados sem o detalhamento dos fundamentos fáticos e jurídicos que justifiquem a sua incidência no caso. Inteligência do art. 489, § 1º, inciso II, do CPC c/c art. 298 do RI/TCDF.  </w:t>
      </w:r>
    </w:p>
    <w:p w:rsidR="00550862" w:rsidRDefault="00000000">
      <w:pPr>
        <w:spacing w:after="0" w:line="259" w:lineRule="auto"/>
        <w:ind w:left="1416" w:firstLine="0"/>
        <w:jc w:val="left"/>
      </w:pPr>
      <w:r>
        <w:t xml:space="preserve"> </w:t>
      </w:r>
    </w:p>
    <w:p w:rsidR="00550862" w:rsidRDefault="00000000">
      <w:pPr>
        <w:numPr>
          <w:ilvl w:val="0"/>
          <w:numId w:val="10"/>
        </w:numPr>
        <w:ind w:right="5"/>
      </w:pPr>
      <w:r>
        <w:t xml:space="preserve">A taxa de ocupação visa evitar a utilização gratuita de bem público e, sobretudo, o enriquecimento sem causa do particular pela utilização irregular de área pública. Se a utilização for desprovida de título, faz-se necessária a demonstração do beneficiamento sem justa causa, à luz do caso concreto.  </w:t>
      </w:r>
    </w:p>
    <w:p w:rsidR="00550862" w:rsidRDefault="00000000">
      <w:pPr>
        <w:spacing w:after="0" w:line="259" w:lineRule="auto"/>
        <w:ind w:left="1416" w:firstLine="0"/>
        <w:jc w:val="left"/>
      </w:pPr>
      <w:r>
        <w:t xml:space="preserve"> </w:t>
      </w:r>
    </w:p>
    <w:p w:rsidR="00550862" w:rsidRDefault="00000000">
      <w:pPr>
        <w:numPr>
          <w:ilvl w:val="0"/>
          <w:numId w:val="10"/>
        </w:numPr>
        <w:ind w:right="5"/>
      </w:pPr>
      <w:r>
        <w:t xml:space="preserve">O princípio da boa-fé objetiva abriga o dever de mitigar a perda da outra parte (duty to mitigate the loss), segundo o qual, em caso de inadimplemento do devedor, o credor deve buscar, por meios razoáveis, amenizar os prejuízos resultantes desse fato.  </w:t>
      </w:r>
    </w:p>
    <w:p w:rsidR="00550862" w:rsidRDefault="00000000">
      <w:pPr>
        <w:spacing w:after="0" w:line="259" w:lineRule="auto"/>
        <w:ind w:left="1416" w:firstLine="0"/>
        <w:jc w:val="left"/>
      </w:pPr>
      <w:r>
        <w:t xml:space="preserve"> </w:t>
      </w:r>
    </w:p>
    <w:p w:rsidR="00550862" w:rsidRDefault="00000000">
      <w:pPr>
        <w:numPr>
          <w:ilvl w:val="0"/>
          <w:numId w:val="10"/>
        </w:numPr>
        <w:ind w:right="5"/>
      </w:pPr>
      <w:r>
        <w:t xml:space="preserve">A propriedade urbana cumpre a sua função social se atender às exigências de ordenação territorial previstas no plano diretor. Inteligência dos arts. 5º, caput, XXIII, 170, caput, inciso III, e 182, § 2º, da Constituição Federal - CF/1988. </w:t>
      </w:r>
    </w:p>
    <w:p w:rsidR="00550862" w:rsidRDefault="00000000">
      <w:pPr>
        <w:spacing w:after="0" w:line="259" w:lineRule="auto"/>
        <w:ind w:left="1416" w:firstLine="0"/>
        <w:jc w:val="left"/>
      </w:pPr>
      <w:r>
        <w:t xml:space="preserve"> </w:t>
      </w:r>
    </w:p>
    <w:p w:rsidR="00550862" w:rsidRDefault="00000000">
      <w:pPr>
        <w:tabs>
          <w:tab w:val="center" w:pos="1110"/>
          <w:tab w:val="center" w:pos="2126"/>
          <w:tab w:val="center" w:pos="2831"/>
          <w:tab w:val="center" w:pos="3542"/>
          <w:tab w:val="center" w:pos="4252"/>
          <w:tab w:val="center" w:pos="5327"/>
        </w:tabs>
        <w:spacing w:after="13" w:line="251" w:lineRule="auto"/>
        <w:ind w:left="0" w:firstLine="0"/>
        <w:jc w:val="left"/>
      </w:pPr>
      <w:r>
        <w:rPr>
          <w:sz w:val="22"/>
        </w:rPr>
        <w:tab/>
      </w:r>
      <w:r>
        <w:rPr>
          <w:b/>
        </w:rPr>
        <w:t>Relator:</w:t>
      </w:r>
      <w:r>
        <w:t xml:space="preserve"> </w:t>
      </w:r>
      <w:r>
        <w:tab/>
        <w:t xml:space="preserve"> </w:t>
      </w:r>
      <w:r>
        <w:tab/>
        <w:t xml:space="preserve"> </w:t>
      </w:r>
      <w:r>
        <w:tab/>
        <w:t xml:space="preserve"> </w:t>
      </w:r>
      <w:r>
        <w:tab/>
        <w:t xml:space="preserve"> </w:t>
      </w:r>
      <w:r>
        <w:tab/>
      </w:r>
      <w:r>
        <w:rPr>
          <w:b/>
        </w:rPr>
        <w:t xml:space="preserve">Sessão: </w:t>
      </w:r>
    </w:p>
    <w:p w:rsidR="00550862" w:rsidRDefault="00000000">
      <w:pPr>
        <w:tabs>
          <w:tab w:val="center" w:pos="2328"/>
          <w:tab w:val="center" w:pos="4252"/>
          <w:tab w:val="center" w:pos="6782"/>
        </w:tabs>
        <w:spacing w:after="13" w:line="251" w:lineRule="auto"/>
        <w:ind w:left="0" w:firstLine="0"/>
        <w:jc w:val="left"/>
      </w:pPr>
      <w:r>
        <w:rPr>
          <w:sz w:val="22"/>
        </w:rPr>
        <w:tab/>
      </w:r>
      <w:r>
        <w:rPr>
          <w:b/>
        </w:rPr>
        <w:t>André Clemente Lara De Oliveira</w:t>
      </w:r>
      <w:r>
        <w:t xml:space="preserve"> </w:t>
      </w:r>
      <w:r>
        <w:tab/>
        <w:t xml:space="preserve"> </w:t>
      </w:r>
      <w:r>
        <w:tab/>
      </w:r>
      <w:r>
        <w:rPr>
          <w:b/>
        </w:rPr>
        <w:t xml:space="preserve">ORDINÁRIA nº 5449, de 10/12/2025. </w:t>
      </w:r>
    </w:p>
    <w:p w:rsidR="00550862" w:rsidRDefault="00000000">
      <w:pPr>
        <w:pStyle w:val="Ttulo6"/>
        <w:tabs>
          <w:tab w:val="center" w:pos="1982"/>
          <w:tab w:val="center" w:pos="3542"/>
          <w:tab w:val="center" w:pos="4252"/>
          <w:tab w:val="center" w:pos="6911"/>
        </w:tabs>
        <w:ind w:left="0" w:firstLine="0"/>
      </w:pPr>
      <w:r>
        <w:rPr>
          <w:color w:val="000000"/>
          <w:sz w:val="22"/>
          <w:u w:val="none" w:color="000000"/>
        </w:rPr>
        <w:tab/>
      </w:r>
      <w:r>
        <w:rPr>
          <w:b/>
          <w:color w:val="000000"/>
          <w:u w:val="none" w:color="000000"/>
        </w:rPr>
        <w:t>Decisão por unanimidade</w:t>
      </w:r>
      <w:r>
        <w:rPr>
          <w:color w:val="000000"/>
          <w:u w:val="none" w:color="000000"/>
        </w:rPr>
        <w:t xml:space="preserve"> </w:t>
      </w:r>
      <w:r>
        <w:rPr>
          <w:color w:val="000000"/>
          <w:u w:val="none" w:color="000000"/>
        </w:rPr>
        <w:tab/>
        <w:t xml:space="preserve"> </w:t>
      </w:r>
      <w:r>
        <w:rPr>
          <w:color w:val="000000"/>
          <w:u w:val="none" w:color="000000"/>
        </w:rPr>
        <w:tab/>
        <w:t xml:space="preserve"> </w:t>
      </w:r>
      <w:r>
        <w:rPr>
          <w:color w:val="000000"/>
          <w:u w:val="none" w:color="000000"/>
        </w:rPr>
        <w:tab/>
      </w:r>
      <w:r>
        <w:t>Proc. nº 7378/2007</w:t>
      </w:r>
      <w:r>
        <w:rPr>
          <w:color w:val="2A69C5"/>
        </w:rPr>
        <w:t xml:space="preserve"> - </w:t>
      </w:r>
      <w:r>
        <w:t>Dec. nº 4917/2025</w:t>
      </w:r>
      <w:r>
        <w:rPr>
          <w:color w:val="000000"/>
          <w:u w:val="none" w:color="000000"/>
        </w:rPr>
        <w:t xml:space="preserve"> </w:t>
      </w:r>
    </w:p>
    <w:p w:rsidR="00550862" w:rsidRDefault="00000000">
      <w:pPr>
        <w:spacing w:after="0" w:line="259" w:lineRule="auto"/>
        <w:ind w:firstLine="0"/>
        <w:jc w:val="left"/>
      </w:pPr>
      <w:r>
        <w:rPr>
          <w:b/>
        </w:rPr>
        <w:t xml:space="preserve"> </w:t>
      </w:r>
    </w:p>
    <w:p w:rsidR="00550862" w:rsidRDefault="00000000">
      <w:pPr>
        <w:spacing w:after="13" w:line="251" w:lineRule="auto"/>
        <w:ind w:left="705" w:hanging="10"/>
      </w:pPr>
      <w:r>
        <w:rPr>
          <w:b/>
        </w:rPr>
        <w:t xml:space="preserve">Legislação relacionada: </w:t>
      </w:r>
      <w:r>
        <w:t xml:space="preserve"> </w:t>
      </w:r>
    </w:p>
    <w:p w:rsidR="00550862" w:rsidRDefault="00000000">
      <w:pPr>
        <w:spacing w:after="5"/>
        <w:ind w:left="705" w:hanging="10"/>
        <w:jc w:val="left"/>
      </w:pPr>
      <w:r>
        <w:rPr>
          <w:rFonts w:ascii="Segoe UI" w:eastAsia="Segoe UI" w:hAnsi="Segoe UI" w:cs="Segoe UI"/>
          <w:color w:val="0563C1"/>
          <w:u w:val="single" w:color="0563C1"/>
        </w:rPr>
        <w:t>Lei nº 13.105/2015, Art. 489, § 1º, II.</w:t>
      </w:r>
      <w:r>
        <w:rPr>
          <w:rFonts w:ascii="Segoe UI" w:eastAsia="Segoe UI" w:hAnsi="Segoe UI" w:cs="Segoe UI"/>
          <w:color w:val="0563C1"/>
        </w:rPr>
        <w:t xml:space="preserve"> </w:t>
      </w:r>
      <w:r>
        <w:rPr>
          <w:rFonts w:ascii="Segoe UI" w:eastAsia="Segoe UI" w:hAnsi="Segoe UI" w:cs="Segoe UI"/>
        </w:rPr>
        <w:t xml:space="preserve">  </w:t>
      </w:r>
      <w:r>
        <w:t xml:space="preserve"> </w:t>
      </w:r>
    </w:p>
    <w:p w:rsidR="00550862" w:rsidRDefault="00000000">
      <w:pPr>
        <w:spacing w:after="5"/>
        <w:ind w:left="705" w:hanging="10"/>
        <w:jc w:val="left"/>
      </w:pPr>
      <w:r>
        <w:rPr>
          <w:rFonts w:ascii="Segoe UI" w:eastAsia="Segoe UI" w:hAnsi="Segoe UI" w:cs="Segoe UI"/>
          <w:color w:val="0563C1"/>
          <w:u w:val="single" w:color="0563C1"/>
        </w:rPr>
        <w:t>Regimento Interno do TCDF, Art. 298.</w:t>
      </w:r>
      <w:r>
        <w:rPr>
          <w:rFonts w:ascii="Segoe UI" w:eastAsia="Segoe UI" w:hAnsi="Segoe UI" w:cs="Segoe UI"/>
        </w:rPr>
        <w:t xml:space="preserve"> </w:t>
      </w:r>
      <w:r>
        <w:t xml:space="preserve"> </w:t>
      </w:r>
    </w:p>
    <w:p w:rsidR="00550862" w:rsidRDefault="00000000">
      <w:pPr>
        <w:spacing w:after="5"/>
        <w:ind w:left="705" w:hanging="10"/>
        <w:jc w:val="left"/>
      </w:pPr>
      <w:r>
        <w:rPr>
          <w:rFonts w:ascii="Segoe UI" w:eastAsia="Segoe UI" w:hAnsi="Segoe UI" w:cs="Segoe UI"/>
          <w:color w:val="0563C1"/>
          <w:u w:val="single" w:color="0563C1"/>
        </w:rPr>
        <w:t>Constituição Federal de 1988, Art. 5º, XXIII.</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Constituição Federal de 1988, Art 170, III.</w:t>
      </w:r>
      <w:r>
        <w:rPr>
          <w:rFonts w:ascii="Segoe UI" w:eastAsia="Segoe UI" w:hAnsi="Segoe UI" w:cs="Segoe UI"/>
        </w:rPr>
        <w:t xml:space="preserve"> </w:t>
      </w:r>
    </w:p>
    <w:p w:rsidR="00550862" w:rsidRDefault="00000000">
      <w:pPr>
        <w:spacing w:after="5"/>
        <w:ind w:left="705" w:hanging="10"/>
        <w:jc w:val="left"/>
      </w:pPr>
      <w:r>
        <w:rPr>
          <w:rFonts w:ascii="Segoe UI" w:eastAsia="Segoe UI" w:hAnsi="Segoe UI" w:cs="Segoe UI"/>
          <w:color w:val="0563C1"/>
          <w:u w:val="single" w:color="0563C1"/>
        </w:rPr>
        <w:t>Constituição Federal de 1988, Art. 182, § 2º.</w:t>
      </w:r>
      <w:r>
        <w:rPr>
          <w:rFonts w:ascii="Segoe UI" w:eastAsia="Segoe UI" w:hAnsi="Segoe UI" w:cs="Segoe UI"/>
        </w:rPr>
        <w:t xml:space="preserve"> </w:t>
      </w:r>
    </w:p>
    <w:p w:rsidR="00550862" w:rsidRDefault="00000000">
      <w:pPr>
        <w:spacing w:after="83" w:line="259" w:lineRule="auto"/>
        <w:ind w:left="700" w:firstLine="0"/>
        <w:jc w:val="left"/>
      </w:pPr>
      <w:r>
        <w:rPr>
          <w:rFonts w:ascii="Segoe UI" w:eastAsia="Segoe UI" w:hAnsi="Segoe UI" w:cs="Segoe UI"/>
        </w:rPr>
        <w:t xml:space="preserve"> </w:t>
      </w:r>
    </w:p>
    <w:p w:rsidR="00550862" w:rsidRDefault="00000000">
      <w:pPr>
        <w:spacing w:after="0" w:line="259" w:lineRule="auto"/>
        <w:ind w:left="0" w:firstLine="0"/>
        <w:jc w:val="left"/>
      </w:pPr>
      <w:r>
        <w:rPr>
          <w:b/>
          <w:color w:val="004364"/>
          <w:sz w:val="32"/>
        </w:rPr>
        <w:t xml:space="preserve"> </w:t>
      </w:r>
    </w:p>
    <w:sectPr w:rsidR="00550862">
      <w:headerReference w:type="even" r:id="rId7"/>
      <w:headerReference w:type="default" r:id="rId8"/>
      <w:footerReference w:type="even" r:id="rId9"/>
      <w:footerReference w:type="default" r:id="rId10"/>
      <w:headerReference w:type="first" r:id="rId11"/>
      <w:footerReference w:type="first" r:id="rId12"/>
      <w:pgSz w:w="11905" w:h="16840"/>
      <w:pgMar w:top="2570" w:right="620" w:bottom="1721" w:left="691" w:header="297" w:footer="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9F8" w:rsidRDefault="00D919F8">
      <w:pPr>
        <w:spacing w:after="0" w:line="240" w:lineRule="auto"/>
      </w:pPr>
      <w:r>
        <w:separator/>
      </w:r>
    </w:p>
  </w:endnote>
  <w:endnote w:type="continuationSeparator" w:id="0">
    <w:p w:rsidR="00D919F8" w:rsidRDefault="00D91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862" w:rsidRDefault="00000000">
    <w:pPr>
      <w:tabs>
        <w:tab w:val="center" w:pos="10079"/>
      </w:tabs>
      <w:spacing w:after="0" w:line="259" w:lineRule="auto"/>
      <w:ind w:left="0" w:firstLine="0"/>
      <w:jc w:val="left"/>
    </w:pPr>
    <w:r>
      <w:rPr>
        <w:noProof/>
        <w:sz w:val="22"/>
      </w:rPr>
      <mc:AlternateContent>
        <mc:Choice Requires="wpg">
          <w:drawing>
            <wp:anchor distT="0" distB="0" distL="114300" distR="114300" simplePos="0" relativeHeight="251661312" behindDoc="0" locked="0" layoutInCell="1" allowOverlap="1">
              <wp:simplePos x="0" y="0"/>
              <wp:positionH relativeFrom="page">
                <wp:posOffset>462280</wp:posOffset>
              </wp:positionH>
              <wp:positionV relativeFrom="page">
                <wp:posOffset>9805912</wp:posOffset>
              </wp:positionV>
              <wp:extent cx="6120765" cy="19050"/>
              <wp:effectExtent l="0" t="0" r="0" b="0"/>
              <wp:wrapSquare wrapText="bothSides"/>
              <wp:docPr id="18682" name="Group 18682"/>
              <wp:cNvGraphicFramePr/>
              <a:graphic xmlns:a="http://schemas.openxmlformats.org/drawingml/2006/main">
                <a:graphicData uri="http://schemas.microsoft.com/office/word/2010/wordprocessingGroup">
                  <wpg:wgp>
                    <wpg:cNvGrpSpPr/>
                    <wpg:grpSpPr>
                      <a:xfrm>
                        <a:off x="0" y="0"/>
                        <a:ext cx="6120765" cy="19050"/>
                        <a:chOff x="0" y="0"/>
                        <a:chExt cx="6120765" cy="19050"/>
                      </a:xfrm>
                    </wpg:grpSpPr>
                    <wps:wsp>
                      <wps:cNvPr id="18683" name="Shape 18683"/>
                      <wps:cNvSpPr/>
                      <wps:spPr>
                        <a:xfrm>
                          <a:off x="0" y="0"/>
                          <a:ext cx="6120765" cy="0"/>
                        </a:xfrm>
                        <a:custGeom>
                          <a:avLst/>
                          <a:gdLst/>
                          <a:ahLst/>
                          <a:cxnLst/>
                          <a:rect l="0" t="0" r="0" b="0"/>
                          <a:pathLst>
                            <a:path w="6120765">
                              <a:moveTo>
                                <a:pt x="0" y="0"/>
                              </a:moveTo>
                              <a:lnTo>
                                <a:pt x="612076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682" style="width:481.95pt;height:1.5pt;position:absolute;mso-position-horizontal-relative:page;mso-position-horizontal:absolute;margin-left:36.4pt;mso-position-vertical-relative:page;margin-top:772.119pt;" coordsize="61207,190">
              <v:shape id="Shape 18683" style="position:absolute;width:61207;height:0;left:0;top:0;" coordsize="6120765,0" path="m0,0l6120765,0">
                <v:stroke weight="1.5pt" endcap="flat" joinstyle="miter" miterlimit="10" on="true" color="#00608f"/>
                <v:fill on="false" color="#000000" opacity="0"/>
              </v:shape>
              <w10:wrap type="square"/>
            </v:group>
          </w:pict>
        </mc:Fallback>
      </mc:AlternateContent>
    </w:r>
    <w:r>
      <w:rPr>
        <w:b/>
        <w:color w:val="00608F"/>
        <w:sz w:val="40"/>
      </w:rPr>
      <w:tab/>
    </w:r>
    <w:r>
      <w:fldChar w:fldCharType="begin"/>
    </w:r>
    <w:r>
      <w:instrText xml:space="preserve"> PAGE   \* MERGEFORMAT </w:instrText>
    </w:r>
    <w:r>
      <w:fldChar w:fldCharType="separate"/>
    </w:r>
    <w:r>
      <w:rPr>
        <w:b/>
        <w:color w:val="00608F"/>
        <w:sz w:val="40"/>
      </w:rPr>
      <w:t>1</w:t>
    </w:r>
    <w:r>
      <w:rPr>
        <w:b/>
        <w:color w:val="00608F"/>
        <w:sz w:val="40"/>
      </w:rPr>
      <w:fldChar w:fldCharType="end"/>
    </w:r>
    <w:r>
      <w:rPr>
        <w:b/>
        <w:color w:val="00608F"/>
        <w:sz w:val="40"/>
      </w:rPr>
      <w:t xml:space="preserve"> </w:t>
    </w:r>
  </w:p>
  <w:p w:rsidR="00550862" w:rsidRDefault="00000000">
    <w:pPr>
      <w:spacing w:after="0" w:line="259" w:lineRule="auto"/>
      <w:ind w:left="0" w:right="445" w:firstLine="0"/>
      <w:jc w:val="center"/>
    </w:pPr>
    <w:r>
      <w:rPr>
        <w:sz w:val="16"/>
      </w:rPr>
      <w:t xml:space="preserve">Coordenadoria de Gestão do Conhecimento Institucional – CGCI </w:t>
    </w:r>
  </w:p>
  <w:p w:rsidR="00550862" w:rsidRDefault="00000000">
    <w:pPr>
      <w:spacing w:after="458" w:line="259" w:lineRule="auto"/>
      <w:ind w:left="1366" w:firstLine="0"/>
      <w:jc w:val="left"/>
    </w:pPr>
    <w:r>
      <w:rPr>
        <w:sz w:val="16"/>
      </w:rPr>
      <w:t xml:space="preserve">Supervisão de Legislação e Jurisprudência - SLJ Telefone: (61) 3314-2226/2259 e-mail: jurisprudencia@tc.df.gov.br </w:t>
    </w:r>
  </w:p>
  <w:p w:rsidR="00550862" w:rsidRDefault="00000000">
    <w:pPr>
      <w:spacing w:after="0" w:line="259" w:lineRule="auto"/>
      <w:ind w:left="-94" w:firstLine="0"/>
      <w:jc w:val="left"/>
    </w:pPr>
    <w:r>
      <w:rPr>
        <w:sz w:val="16"/>
      </w:rPr>
      <w:t>Documento assinado digitalmente. Para verificar as assinaturas, acesse www.tc.df.gov.br/autenticidade e informe o e-DOC 69FF8A0E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862" w:rsidRDefault="00000000">
    <w:pPr>
      <w:tabs>
        <w:tab w:val="center" w:pos="10079"/>
      </w:tabs>
      <w:spacing w:after="0" w:line="259" w:lineRule="auto"/>
      <w:ind w:left="0" w:firstLine="0"/>
      <w:jc w:val="left"/>
    </w:pPr>
    <w:r>
      <w:rPr>
        <w:noProof/>
        <w:sz w:val="22"/>
      </w:rPr>
      <mc:AlternateContent>
        <mc:Choice Requires="wpg">
          <w:drawing>
            <wp:anchor distT="0" distB="0" distL="114300" distR="114300" simplePos="0" relativeHeight="251662336" behindDoc="0" locked="0" layoutInCell="1" allowOverlap="1">
              <wp:simplePos x="0" y="0"/>
              <wp:positionH relativeFrom="page">
                <wp:posOffset>462280</wp:posOffset>
              </wp:positionH>
              <wp:positionV relativeFrom="page">
                <wp:posOffset>9805912</wp:posOffset>
              </wp:positionV>
              <wp:extent cx="6120765" cy="19050"/>
              <wp:effectExtent l="0" t="0" r="0" b="0"/>
              <wp:wrapSquare wrapText="bothSides"/>
              <wp:docPr id="18613" name="Group 18613"/>
              <wp:cNvGraphicFramePr/>
              <a:graphic xmlns:a="http://schemas.openxmlformats.org/drawingml/2006/main">
                <a:graphicData uri="http://schemas.microsoft.com/office/word/2010/wordprocessingGroup">
                  <wpg:wgp>
                    <wpg:cNvGrpSpPr/>
                    <wpg:grpSpPr>
                      <a:xfrm>
                        <a:off x="0" y="0"/>
                        <a:ext cx="6120765" cy="19050"/>
                        <a:chOff x="0" y="0"/>
                        <a:chExt cx="6120765" cy="19050"/>
                      </a:xfrm>
                    </wpg:grpSpPr>
                    <wps:wsp>
                      <wps:cNvPr id="18614" name="Shape 18614"/>
                      <wps:cNvSpPr/>
                      <wps:spPr>
                        <a:xfrm>
                          <a:off x="0" y="0"/>
                          <a:ext cx="6120765" cy="0"/>
                        </a:xfrm>
                        <a:custGeom>
                          <a:avLst/>
                          <a:gdLst/>
                          <a:ahLst/>
                          <a:cxnLst/>
                          <a:rect l="0" t="0" r="0" b="0"/>
                          <a:pathLst>
                            <a:path w="6120765">
                              <a:moveTo>
                                <a:pt x="0" y="0"/>
                              </a:moveTo>
                              <a:lnTo>
                                <a:pt x="612076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613" style="width:481.95pt;height:1.5pt;position:absolute;mso-position-horizontal-relative:page;mso-position-horizontal:absolute;margin-left:36.4pt;mso-position-vertical-relative:page;margin-top:772.119pt;" coordsize="61207,190">
              <v:shape id="Shape 18614" style="position:absolute;width:61207;height:0;left:0;top:0;" coordsize="6120765,0" path="m0,0l6120765,0">
                <v:stroke weight="1.5pt" endcap="flat" joinstyle="miter" miterlimit="10" on="true" color="#00608f"/>
                <v:fill on="false" color="#000000" opacity="0"/>
              </v:shape>
              <w10:wrap type="square"/>
            </v:group>
          </w:pict>
        </mc:Fallback>
      </mc:AlternateContent>
    </w:r>
    <w:r>
      <w:rPr>
        <w:b/>
        <w:color w:val="00608F"/>
        <w:sz w:val="40"/>
      </w:rPr>
      <w:tab/>
    </w:r>
    <w:r>
      <w:fldChar w:fldCharType="begin"/>
    </w:r>
    <w:r>
      <w:instrText xml:space="preserve"> PAGE   \* MERGEFORMAT </w:instrText>
    </w:r>
    <w:r>
      <w:fldChar w:fldCharType="separate"/>
    </w:r>
    <w:r>
      <w:rPr>
        <w:b/>
        <w:color w:val="00608F"/>
        <w:sz w:val="40"/>
      </w:rPr>
      <w:t>1</w:t>
    </w:r>
    <w:r>
      <w:rPr>
        <w:b/>
        <w:color w:val="00608F"/>
        <w:sz w:val="40"/>
      </w:rPr>
      <w:fldChar w:fldCharType="end"/>
    </w:r>
    <w:r>
      <w:rPr>
        <w:b/>
        <w:color w:val="00608F"/>
        <w:sz w:val="40"/>
      </w:rPr>
      <w:t xml:space="preserve"> </w:t>
    </w:r>
  </w:p>
  <w:p w:rsidR="00550862" w:rsidRDefault="00000000">
    <w:pPr>
      <w:spacing w:after="0" w:line="259" w:lineRule="auto"/>
      <w:ind w:left="0" w:right="445" w:firstLine="0"/>
      <w:jc w:val="center"/>
    </w:pPr>
    <w:r>
      <w:rPr>
        <w:sz w:val="16"/>
      </w:rPr>
      <w:t xml:space="preserve">Coordenadoria de Gestão do Conhecimento Institucional – CGCI </w:t>
    </w:r>
  </w:p>
  <w:p w:rsidR="00550862" w:rsidRDefault="00000000">
    <w:pPr>
      <w:spacing w:after="458" w:line="259" w:lineRule="auto"/>
      <w:ind w:left="1366" w:firstLine="0"/>
      <w:jc w:val="left"/>
    </w:pPr>
    <w:r>
      <w:rPr>
        <w:sz w:val="16"/>
      </w:rPr>
      <w:t xml:space="preserve">Supervisão de Legislação e Jurisprudência - SLJ Telefone: (61) 3314-2226/2259 e-mail: jurisprudencia@tc.df.gov.br </w:t>
    </w:r>
  </w:p>
  <w:p w:rsidR="00550862" w:rsidRDefault="00000000">
    <w:pPr>
      <w:spacing w:after="0" w:line="259" w:lineRule="auto"/>
      <w:ind w:left="-94" w:firstLine="0"/>
      <w:jc w:val="left"/>
    </w:pPr>
    <w:r>
      <w:rPr>
        <w:sz w:val="16"/>
      </w:rPr>
      <w:t>Documento assinado digitalmente. Para verificar as assinaturas, acesse www.tc.df.gov.br/autenticidade e informe o e-DOC 69FF8A0E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862" w:rsidRDefault="00000000">
    <w:pPr>
      <w:tabs>
        <w:tab w:val="center" w:pos="10079"/>
      </w:tabs>
      <w:spacing w:after="0" w:line="259" w:lineRule="auto"/>
      <w:ind w:left="0" w:firstLine="0"/>
      <w:jc w:val="left"/>
    </w:pPr>
    <w:r>
      <w:rPr>
        <w:noProof/>
        <w:sz w:val="22"/>
      </w:rPr>
      <mc:AlternateContent>
        <mc:Choice Requires="wpg">
          <w:drawing>
            <wp:anchor distT="0" distB="0" distL="114300" distR="114300" simplePos="0" relativeHeight="251663360" behindDoc="0" locked="0" layoutInCell="1" allowOverlap="1">
              <wp:simplePos x="0" y="0"/>
              <wp:positionH relativeFrom="page">
                <wp:posOffset>462280</wp:posOffset>
              </wp:positionH>
              <wp:positionV relativeFrom="page">
                <wp:posOffset>9805912</wp:posOffset>
              </wp:positionV>
              <wp:extent cx="6120765" cy="19050"/>
              <wp:effectExtent l="0" t="0" r="0" b="0"/>
              <wp:wrapSquare wrapText="bothSides"/>
              <wp:docPr id="18544" name="Group 18544"/>
              <wp:cNvGraphicFramePr/>
              <a:graphic xmlns:a="http://schemas.openxmlformats.org/drawingml/2006/main">
                <a:graphicData uri="http://schemas.microsoft.com/office/word/2010/wordprocessingGroup">
                  <wpg:wgp>
                    <wpg:cNvGrpSpPr/>
                    <wpg:grpSpPr>
                      <a:xfrm>
                        <a:off x="0" y="0"/>
                        <a:ext cx="6120765" cy="19050"/>
                        <a:chOff x="0" y="0"/>
                        <a:chExt cx="6120765" cy="19050"/>
                      </a:xfrm>
                    </wpg:grpSpPr>
                    <wps:wsp>
                      <wps:cNvPr id="18545" name="Shape 18545"/>
                      <wps:cNvSpPr/>
                      <wps:spPr>
                        <a:xfrm>
                          <a:off x="0" y="0"/>
                          <a:ext cx="6120765" cy="0"/>
                        </a:xfrm>
                        <a:custGeom>
                          <a:avLst/>
                          <a:gdLst/>
                          <a:ahLst/>
                          <a:cxnLst/>
                          <a:rect l="0" t="0" r="0" b="0"/>
                          <a:pathLst>
                            <a:path w="6120765">
                              <a:moveTo>
                                <a:pt x="0" y="0"/>
                              </a:moveTo>
                              <a:lnTo>
                                <a:pt x="612076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544" style="width:481.95pt;height:1.5pt;position:absolute;mso-position-horizontal-relative:page;mso-position-horizontal:absolute;margin-left:36.4pt;mso-position-vertical-relative:page;margin-top:772.119pt;" coordsize="61207,190">
              <v:shape id="Shape 18545" style="position:absolute;width:61207;height:0;left:0;top:0;" coordsize="6120765,0" path="m0,0l6120765,0">
                <v:stroke weight="1.5pt" endcap="flat" joinstyle="miter" miterlimit="10" on="true" color="#00608f"/>
                <v:fill on="false" color="#000000" opacity="0"/>
              </v:shape>
              <w10:wrap type="square"/>
            </v:group>
          </w:pict>
        </mc:Fallback>
      </mc:AlternateContent>
    </w:r>
    <w:r>
      <w:rPr>
        <w:b/>
        <w:color w:val="00608F"/>
        <w:sz w:val="40"/>
      </w:rPr>
      <w:tab/>
    </w:r>
    <w:r>
      <w:fldChar w:fldCharType="begin"/>
    </w:r>
    <w:r>
      <w:instrText xml:space="preserve"> PAGE   \* MERGEFORMAT </w:instrText>
    </w:r>
    <w:r>
      <w:fldChar w:fldCharType="separate"/>
    </w:r>
    <w:r>
      <w:rPr>
        <w:b/>
        <w:color w:val="00608F"/>
        <w:sz w:val="40"/>
      </w:rPr>
      <w:t>1</w:t>
    </w:r>
    <w:r>
      <w:rPr>
        <w:b/>
        <w:color w:val="00608F"/>
        <w:sz w:val="40"/>
      </w:rPr>
      <w:fldChar w:fldCharType="end"/>
    </w:r>
    <w:r>
      <w:rPr>
        <w:b/>
        <w:color w:val="00608F"/>
        <w:sz w:val="40"/>
      </w:rPr>
      <w:t xml:space="preserve"> </w:t>
    </w:r>
  </w:p>
  <w:p w:rsidR="00550862" w:rsidRDefault="00000000">
    <w:pPr>
      <w:spacing w:after="0" w:line="259" w:lineRule="auto"/>
      <w:ind w:left="0" w:right="445" w:firstLine="0"/>
      <w:jc w:val="center"/>
    </w:pPr>
    <w:r>
      <w:rPr>
        <w:sz w:val="16"/>
      </w:rPr>
      <w:t xml:space="preserve">Coordenadoria de Gestão do Conhecimento Institucional – CGCI </w:t>
    </w:r>
  </w:p>
  <w:p w:rsidR="00550862" w:rsidRDefault="00000000">
    <w:pPr>
      <w:spacing w:after="458" w:line="259" w:lineRule="auto"/>
      <w:ind w:left="1366" w:firstLine="0"/>
      <w:jc w:val="left"/>
    </w:pPr>
    <w:r>
      <w:rPr>
        <w:sz w:val="16"/>
      </w:rPr>
      <w:t xml:space="preserve">Supervisão de Legislação e Jurisprudência - SLJ Telefone: (61) 3314-2226/2259 e-mail: jurisprudencia@tc.df.gov.br </w:t>
    </w:r>
  </w:p>
  <w:p w:rsidR="00550862" w:rsidRDefault="00000000">
    <w:pPr>
      <w:spacing w:after="0" w:line="259" w:lineRule="auto"/>
      <w:ind w:left="-94" w:firstLine="0"/>
      <w:jc w:val="left"/>
    </w:pPr>
    <w:r>
      <w:rPr>
        <w:sz w:val="16"/>
      </w:rPr>
      <w:t>Documento assinado digitalmente. Para verificar as assinaturas, acesse www.tc.df.gov.br/autenticidade e informe o e-DOC 69FF8A0E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9F8" w:rsidRDefault="00D919F8">
      <w:pPr>
        <w:spacing w:after="0" w:line="240" w:lineRule="auto"/>
      </w:pPr>
      <w:r>
        <w:separator/>
      </w:r>
    </w:p>
  </w:footnote>
  <w:footnote w:type="continuationSeparator" w:id="0">
    <w:p w:rsidR="00D919F8" w:rsidRDefault="00D91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862" w:rsidRDefault="00000000">
    <w:pPr>
      <w:spacing w:after="340" w:line="261" w:lineRule="auto"/>
      <w:ind w:left="8787" w:right="-590" w:firstLine="1099"/>
      <w:jc w:val="left"/>
    </w:pPr>
    <w:r>
      <w:rPr>
        <w:color w:val="0000FF"/>
        <w:sz w:val="16"/>
      </w:rPr>
      <w:t>e-DOC 69FF8A0E Proc 00600-00000771/2026-76-e</w:t>
    </w:r>
  </w:p>
  <w:p w:rsidR="00550862" w:rsidRDefault="00000000">
    <w:pPr>
      <w:spacing w:after="82" w:line="259" w:lineRule="auto"/>
      <w:ind w:left="0" w:firstLine="0"/>
      <w:jc w:val="left"/>
    </w:pPr>
    <w:r>
      <w:rPr>
        <w:b/>
        <w:color w:val="00608F"/>
        <w:sz w:val="40"/>
      </w:rPr>
      <w:t>Boletim de Jurisprudência</w:t>
    </w:r>
    <w:r>
      <w:rPr>
        <w:color w:val="00608F"/>
        <w:sz w:val="40"/>
      </w:rPr>
      <w:t xml:space="preserve"> </w:t>
    </w:r>
  </w:p>
  <w:p w:rsidR="00550862" w:rsidRDefault="00000000">
    <w:pPr>
      <w:spacing w:after="0" w:line="259" w:lineRule="auto"/>
      <w:ind w:left="0" w:firstLine="0"/>
      <w:jc w:val="left"/>
    </w:pPr>
    <w:r>
      <w:rPr>
        <w:noProof/>
        <w:sz w:val="22"/>
      </w:rPr>
      <mc:AlternateContent>
        <mc:Choice Requires="wpg">
          <w:drawing>
            <wp:anchor distT="0" distB="0" distL="114300" distR="114300" simplePos="0" relativeHeight="251658240" behindDoc="1" locked="0" layoutInCell="1" allowOverlap="1">
              <wp:simplePos x="0" y="0"/>
              <wp:positionH relativeFrom="page">
                <wp:posOffset>461010</wp:posOffset>
              </wp:positionH>
              <wp:positionV relativeFrom="page">
                <wp:posOffset>770890</wp:posOffset>
              </wp:positionV>
              <wp:extent cx="6697981" cy="673862"/>
              <wp:effectExtent l="0" t="0" r="0" b="0"/>
              <wp:wrapNone/>
              <wp:docPr id="18663" name="Group 18663"/>
              <wp:cNvGraphicFramePr/>
              <a:graphic xmlns:a="http://schemas.openxmlformats.org/drawingml/2006/main">
                <a:graphicData uri="http://schemas.microsoft.com/office/word/2010/wordprocessingGroup">
                  <wpg:wgp>
                    <wpg:cNvGrpSpPr/>
                    <wpg:grpSpPr>
                      <a:xfrm>
                        <a:off x="0" y="0"/>
                        <a:ext cx="6697981" cy="673862"/>
                        <a:chOff x="0" y="0"/>
                        <a:chExt cx="6697981" cy="673862"/>
                      </a:xfrm>
                    </wpg:grpSpPr>
                    <pic:pic xmlns:pic="http://schemas.openxmlformats.org/drawingml/2006/picture">
                      <pic:nvPicPr>
                        <pic:cNvPr id="18664" name="Picture 18664"/>
                        <pic:cNvPicPr/>
                      </pic:nvPicPr>
                      <pic:blipFill>
                        <a:blip r:embed="rId1"/>
                        <a:stretch>
                          <a:fillRect/>
                        </a:stretch>
                      </pic:blipFill>
                      <pic:spPr>
                        <a:xfrm>
                          <a:off x="5860415" y="0"/>
                          <a:ext cx="837565" cy="321310"/>
                        </a:xfrm>
                        <a:prstGeom prst="rect">
                          <a:avLst/>
                        </a:prstGeom>
                      </pic:spPr>
                    </pic:pic>
                    <pic:pic xmlns:pic="http://schemas.openxmlformats.org/drawingml/2006/picture">
                      <pic:nvPicPr>
                        <pic:cNvPr id="18667" name="Picture 18667"/>
                        <pic:cNvPicPr/>
                      </pic:nvPicPr>
                      <pic:blipFill>
                        <a:blip r:embed="rId2"/>
                        <a:stretch>
                          <a:fillRect/>
                        </a:stretch>
                      </pic:blipFill>
                      <pic:spPr>
                        <a:xfrm>
                          <a:off x="4333240" y="54610"/>
                          <a:ext cx="1104900" cy="204470"/>
                        </a:xfrm>
                        <a:prstGeom prst="rect">
                          <a:avLst/>
                        </a:prstGeom>
                      </pic:spPr>
                    </pic:pic>
                    <wps:wsp>
                      <wps:cNvPr id="18666" name="Rectangle 18666"/>
                      <wps:cNvSpPr/>
                      <wps:spPr>
                        <a:xfrm>
                          <a:off x="5154931" y="122936"/>
                          <a:ext cx="64456" cy="425653"/>
                        </a:xfrm>
                        <a:prstGeom prst="rect">
                          <a:avLst/>
                        </a:prstGeom>
                        <a:ln>
                          <a:noFill/>
                        </a:ln>
                      </wps:spPr>
                      <wps:txbx>
                        <w:txbxContent>
                          <w:p w:rsidR="00550862" w:rsidRDefault="00000000">
                            <w:pPr>
                              <w:spacing w:after="160" w:line="259" w:lineRule="auto"/>
                              <w:ind w:left="0" w:firstLine="0"/>
                              <w:jc w:val="left"/>
                            </w:pPr>
                            <w:r>
                              <w:rPr>
                                <w:b/>
                                <w:color w:val="00608F"/>
                                <w:sz w:val="36"/>
                              </w:rPr>
                              <w:t xml:space="preserve"> </w:t>
                            </w:r>
                          </w:p>
                        </w:txbxContent>
                      </wps:txbx>
                      <wps:bodyPr horzOverflow="overflow" vert="horz" lIns="0" tIns="0" rIns="0" bIns="0" rtlCol="0">
                        <a:noAutofit/>
                      </wps:bodyPr>
                    </wps:wsp>
                    <wps:wsp>
                      <wps:cNvPr id="18665" name="Shape 18665"/>
                      <wps:cNvSpPr/>
                      <wps:spPr>
                        <a:xfrm>
                          <a:off x="0" y="673862"/>
                          <a:ext cx="6677025" cy="0"/>
                        </a:xfrm>
                        <a:custGeom>
                          <a:avLst/>
                          <a:gdLst/>
                          <a:ahLst/>
                          <a:cxnLst/>
                          <a:rect l="0" t="0" r="0" b="0"/>
                          <a:pathLst>
                            <a:path w="6677025">
                              <a:moveTo>
                                <a:pt x="0" y="0"/>
                              </a:moveTo>
                              <a:lnTo>
                                <a:pt x="667702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663" style="width:527.4pt;height:53.06pt;position:absolute;z-index:-2147483644;mso-position-horizontal-relative:page;mso-position-horizontal:absolute;margin-left:36.3pt;mso-position-vertical-relative:page;margin-top:60.7pt;" coordsize="66979,6738">
              <v:shape id="Picture 18664" style="position:absolute;width:8375;height:3213;left:58604;top:0;" filled="f">
                <v:imagedata r:id="rId7"/>
              </v:shape>
              <v:shape id="Picture 18667" style="position:absolute;width:11049;height:2044;left:43332;top:546;" filled="f">
                <v:imagedata r:id="rId8"/>
              </v:shape>
              <v:rect id="Rectangle 18666" style="position:absolute;width:644;height:4256;left:51549;top:1229;" filled="f" stroked="f">
                <v:textbox inset="0,0,0,0">
                  <w:txbxContent>
                    <w:p>
                      <w:pPr>
                        <w:spacing w:before="0" w:after="160" w:line="259" w:lineRule="auto"/>
                        <w:ind w:left="0" w:firstLine="0"/>
                        <w:jc w:val="left"/>
                      </w:pPr>
                      <w:r>
                        <w:rPr>
                          <w:rFonts w:cs="Calibri" w:hAnsi="Calibri" w:eastAsia="Calibri" w:ascii="Calibri"/>
                          <w:b w:val="1"/>
                          <w:color w:val="00608f"/>
                          <w:sz w:val="36"/>
                        </w:rPr>
                        <w:t xml:space="preserve"> </w:t>
                      </w:r>
                    </w:p>
                  </w:txbxContent>
                </v:textbox>
              </v:rect>
              <v:shape id="Shape 18665" style="position:absolute;width:66770;height:0;left:0;top:6738;" coordsize="6677025,0" path="m0,0l6677025,0">
                <v:stroke weight="1.5pt" endcap="flat" joinstyle="miter" miterlimit="10" on="true" color="#00608f"/>
                <v:fill on="false" color="#000000" opacity="0"/>
              </v:shape>
            </v:group>
          </w:pict>
        </mc:Fallback>
      </mc:AlternateContent>
    </w:r>
    <w:r>
      <w:rPr>
        <w:b/>
        <w:color w:val="00608F"/>
        <w:sz w:val="36"/>
      </w:rPr>
      <w:t>Número 6/2025</w:t>
    </w:r>
    <w:r>
      <w:t xml:space="preserve"> </w:t>
    </w:r>
  </w:p>
  <w:p w:rsidR="00550862" w:rsidRDefault="00000000">
    <w:pPr>
      <w:spacing w:after="0" w:line="259" w:lineRule="auto"/>
      <w:ind w:left="390" w:firstLine="0"/>
      <w:jc w:val="left"/>
    </w:pPr>
    <w:r>
      <w:t xml:space="preserve"> </w:t>
    </w:r>
  </w:p>
  <w:p w:rsidR="00550862" w:rsidRDefault="00000000">
    <w:pPr>
      <w:spacing w:after="0" w:line="259" w:lineRule="auto"/>
      <w:ind w:left="39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862" w:rsidRDefault="00000000">
    <w:pPr>
      <w:spacing w:after="340" w:line="261" w:lineRule="auto"/>
      <w:ind w:left="8787" w:right="-590" w:firstLine="1099"/>
      <w:jc w:val="left"/>
    </w:pPr>
    <w:r>
      <w:rPr>
        <w:color w:val="0000FF"/>
        <w:sz w:val="16"/>
      </w:rPr>
      <w:t>e-DOC 69FF8A0E Proc 00600-00000771/2026-76-e</w:t>
    </w:r>
  </w:p>
  <w:p w:rsidR="00550862" w:rsidRDefault="00000000">
    <w:pPr>
      <w:spacing w:after="82" w:line="259" w:lineRule="auto"/>
      <w:ind w:left="0" w:firstLine="0"/>
      <w:jc w:val="left"/>
    </w:pPr>
    <w:r>
      <w:rPr>
        <w:b/>
        <w:color w:val="00608F"/>
        <w:sz w:val="40"/>
      </w:rPr>
      <w:t>Boletim de Jurisprudência</w:t>
    </w:r>
    <w:r>
      <w:rPr>
        <w:color w:val="00608F"/>
        <w:sz w:val="40"/>
      </w:rPr>
      <w:t xml:space="preserve"> </w:t>
    </w:r>
  </w:p>
  <w:p w:rsidR="00550862" w:rsidRDefault="00000000">
    <w:pPr>
      <w:spacing w:after="0" w:line="259" w:lineRule="auto"/>
      <w:ind w:left="0" w:firstLine="0"/>
      <w:jc w:val="left"/>
    </w:pPr>
    <w:r>
      <w:rPr>
        <w:noProof/>
        <w:sz w:val="22"/>
      </w:rPr>
      <mc:AlternateContent>
        <mc:Choice Requires="wpg">
          <w:drawing>
            <wp:anchor distT="0" distB="0" distL="114300" distR="114300" simplePos="0" relativeHeight="251659264" behindDoc="1" locked="0" layoutInCell="1" allowOverlap="1">
              <wp:simplePos x="0" y="0"/>
              <wp:positionH relativeFrom="page">
                <wp:posOffset>461010</wp:posOffset>
              </wp:positionH>
              <wp:positionV relativeFrom="page">
                <wp:posOffset>770890</wp:posOffset>
              </wp:positionV>
              <wp:extent cx="6697981" cy="673862"/>
              <wp:effectExtent l="0" t="0" r="0" b="0"/>
              <wp:wrapNone/>
              <wp:docPr id="18594" name="Group 18594"/>
              <wp:cNvGraphicFramePr/>
              <a:graphic xmlns:a="http://schemas.openxmlformats.org/drawingml/2006/main">
                <a:graphicData uri="http://schemas.microsoft.com/office/word/2010/wordprocessingGroup">
                  <wpg:wgp>
                    <wpg:cNvGrpSpPr/>
                    <wpg:grpSpPr>
                      <a:xfrm>
                        <a:off x="0" y="0"/>
                        <a:ext cx="6697981" cy="673862"/>
                        <a:chOff x="0" y="0"/>
                        <a:chExt cx="6697981" cy="673862"/>
                      </a:xfrm>
                    </wpg:grpSpPr>
                    <pic:pic xmlns:pic="http://schemas.openxmlformats.org/drawingml/2006/picture">
                      <pic:nvPicPr>
                        <pic:cNvPr id="18595" name="Picture 18595"/>
                        <pic:cNvPicPr/>
                      </pic:nvPicPr>
                      <pic:blipFill>
                        <a:blip r:embed="rId1"/>
                        <a:stretch>
                          <a:fillRect/>
                        </a:stretch>
                      </pic:blipFill>
                      <pic:spPr>
                        <a:xfrm>
                          <a:off x="5860415" y="0"/>
                          <a:ext cx="837565" cy="321310"/>
                        </a:xfrm>
                        <a:prstGeom prst="rect">
                          <a:avLst/>
                        </a:prstGeom>
                      </pic:spPr>
                    </pic:pic>
                    <pic:pic xmlns:pic="http://schemas.openxmlformats.org/drawingml/2006/picture">
                      <pic:nvPicPr>
                        <pic:cNvPr id="18598" name="Picture 18598"/>
                        <pic:cNvPicPr/>
                      </pic:nvPicPr>
                      <pic:blipFill>
                        <a:blip r:embed="rId2"/>
                        <a:stretch>
                          <a:fillRect/>
                        </a:stretch>
                      </pic:blipFill>
                      <pic:spPr>
                        <a:xfrm>
                          <a:off x="4333240" y="54610"/>
                          <a:ext cx="1104900" cy="204470"/>
                        </a:xfrm>
                        <a:prstGeom prst="rect">
                          <a:avLst/>
                        </a:prstGeom>
                      </pic:spPr>
                    </pic:pic>
                    <wps:wsp>
                      <wps:cNvPr id="18597" name="Rectangle 18597"/>
                      <wps:cNvSpPr/>
                      <wps:spPr>
                        <a:xfrm>
                          <a:off x="5154931" y="122936"/>
                          <a:ext cx="64456" cy="425653"/>
                        </a:xfrm>
                        <a:prstGeom prst="rect">
                          <a:avLst/>
                        </a:prstGeom>
                        <a:ln>
                          <a:noFill/>
                        </a:ln>
                      </wps:spPr>
                      <wps:txbx>
                        <w:txbxContent>
                          <w:p w:rsidR="00550862" w:rsidRDefault="00000000">
                            <w:pPr>
                              <w:spacing w:after="160" w:line="259" w:lineRule="auto"/>
                              <w:ind w:left="0" w:firstLine="0"/>
                              <w:jc w:val="left"/>
                            </w:pPr>
                            <w:r>
                              <w:rPr>
                                <w:b/>
                                <w:color w:val="00608F"/>
                                <w:sz w:val="36"/>
                              </w:rPr>
                              <w:t xml:space="preserve"> </w:t>
                            </w:r>
                          </w:p>
                        </w:txbxContent>
                      </wps:txbx>
                      <wps:bodyPr horzOverflow="overflow" vert="horz" lIns="0" tIns="0" rIns="0" bIns="0" rtlCol="0">
                        <a:noAutofit/>
                      </wps:bodyPr>
                    </wps:wsp>
                    <wps:wsp>
                      <wps:cNvPr id="18596" name="Shape 18596"/>
                      <wps:cNvSpPr/>
                      <wps:spPr>
                        <a:xfrm>
                          <a:off x="0" y="673862"/>
                          <a:ext cx="6677025" cy="0"/>
                        </a:xfrm>
                        <a:custGeom>
                          <a:avLst/>
                          <a:gdLst/>
                          <a:ahLst/>
                          <a:cxnLst/>
                          <a:rect l="0" t="0" r="0" b="0"/>
                          <a:pathLst>
                            <a:path w="6677025">
                              <a:moveTo>
                                <a:pt x="0" y="0"/>
                              </a:moveTo>
                              <a:lnTo>
                                <a:pt x="667702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594" style="width:527.4pt;height:53.06pt;position:absolute;z-index:-2147483644;mso-position-horizontal-relative:page;mso-position-horizontal:absolute;margin-left:36.3pt;mso-position-vertical-relative:page;margin-top:60.7pt;" coordsize="66979,6738">
              <v:shape id="Picture 18595" style="position:absolute;width:8375;height:3213;left:58604;top:0;" filled="f">
                <v:imagedata r:id="rId7"/>
              </v:shape>
              <v:shape id="Picture 18598" style="position:absolute;width:11049;height:2044;left:43332;top:546;" filled="f">
                <v:imagedata r:id="rId8"/>
              </v:shape>
              <v:rect id="Rectangle 18597" style="position:absolute;width:644;height:4256;left:51549;top:1229;" filled="f" stroked="f">
                <v:textbox inset="0,0,0,0">
                  <w:txbxContent>
                    <w:p>
                      <w:pPr>
                        <w:spacing w:before="0" w:after="160" w:line="259" w:lineRule="auto"/>
                        <w:ind w:left="0" w:firstLine="0"/>
                        <w:jc w:val="left"/>
                      </w:pPr>
                      <w:r>
                        <w:rPr>
                          <w:rFonts w:cs="Calibri" w:hAnsi="Calibri" w:eastAsia="Calibri" w:ascii="Calibri"/>
                          <w:b w:val="1"/>
                          <w:color w:val="00608f"/>
                          <w:sz w:val="36"/>
                        </w:rPr>
                        <w:t xml:space="preserve"> </w:t>
                      </w:r>
                    </w:p>
                  </w:txbxContent>
                </v:textbox>
              </v:rect>
              <v:shape id="Shape 18596" style="position:absolute;width:66770;height:0;left:0;top:6738;" coordsize="6677025,0" path="m0,0l6677025,0">
                <v:stroke weight="1.5pt" endcap="flat" joinstyle="miter" miterlimit="10" on="true" color="#00608f"/>
                <v:fill on="false" color="#000000" opacity="0"/>
              </v:shape>
            </v:group>
          </w:pict>
        </mc:Fallback>
      </mc:AlternateContent>
    </w:r>
    <w:r>
      <w:rPr>
        <w:b/>
        <w:color w:val="00608F"/>
        <w:sz w:val="36"/>
      </w:rPr>
      <w:t>Número 6/2025</w:t>
    </w:r>
    <w:r>
      <w:t xml:space="preserve"> </w:t>
    </w:r>
  </w:p>
  <w:p w:rsidR="00550862" w:rsidRDefault="00000000">
    <w:pPr>
      <w:spacing w:after="0" w:line="259" w:lineRule="auto"/>
      <w:ind w:left="390" w:firstLine="0"/>
      <w:jc w:val="left"/>
    </w:pPr>
    <w:r>
      <w:t xml:space="preserve"> </w:t>
    </w:r>
  </w:p>
  <w:p w:rsidR="00550862" w:rsidRDefault="00000000">
    <w:pPr>
      <w:spacing w:after="0" w:line="259" w:lineRule="auto"/>
      <w:ind w:left="39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862" w:rsidRDefault="00000000">
    <w:pPr>
      <w:spacing w:after="340" w:line="261" w:lineRule="auto"/>
      <w:ind w:left="8787" w:right="-590" w:firstLine="1099"/>
      <w:jc w:val="left"/>
    </w:pPr>
    <w:r>
      <w:rPr>
        <w:color w:val="0000FF"/>
        <w:sz w:val="16"/>
      </w:rPr>
      <w:t>e-DOC 69FF8A0E Proc 00600-00000771/2026-76-e</w:t>
    </w:r>
  </w:p>
  <w:p w:rsidR="00550862" w:rsidRDefault="00000000">
    <w:pPr>
      <w:spacing w:after="82" w:line="259" w:lineRule="auto"/>
      <w:ind w:left="0" w:firstLine="0"/>
      <w:jc w:val="left"/>
    </w:pPr>
    <w:r>
      <w:rPr>
        <w:b/>
        <w:color w:val="00608F"/>
        <w:sz w:val="40"/>
      </w:rPr>
      <w:t>Boletim de Jurisprudência</w:t>
    </w:r>
    <w:r>
      <w:rPr>
        <w:color w:val="00608F"/>
        <w:sz w:val="40"/>
      </w:rPr>
      <w:t xml:space="preserve"> </w:t>
    </w:r>
  </w:p>
  <w:p w:rsidR="00550862" w:rsidRDefault="00000000">
    <w:pPr>
      <w:spacing w:after="0" w:line="259" w:lineRule="auto"/>
      <w:ind w:left="0" w:firstLine="0"/>
      <w:jc w:val="left"/>
    </w:pPr>
    <w:r>
      <w:rPr>
        <w:noProof/>
        <w:sz w:val="22"/>
      </w:rPr>
      <mc:AlternateContent>
        <mc:Choice Requires="wpg">
          <w:drawing>
            <wp:anchor distT="0" distB="0" distL="114300" distR="114300" simplePos="0" relativeHeight="251660288" behindDoc="1" locked="0" layoutInCell="1" allowOverlap="1">
              <wp:simplePos x="0" y="0"/>
              <wp:positionH relativeFrom="page">
                <wp:posOffset>461010</wp:posOffset>
              </wp:positionH>
              <wp:positionV relativeFrom="page">
                <wp:posOffset>770890</wp:posOffset>
              </wp:positionV>
              <wp:extent cx="6697981" cy="673862"/>
              <wp:effectExtent l="0" t="0" r="0" b="0"/>
              <wp:wrapNone/>
              <wp:docPr id="18525" name="Group 18525"/>
              <wp:cNvGraphicFramePr/>
              <a:graphic xmlns:a="http://schemas.openxmlformats.org/drawingml/2006/main">
                <a:graphicData uri="http://schemas.microsoft.com/office/word/2010/wordprocessingGroup">
                  <wpg:wgp>
                    <wpg:cNvGrpSpPr/>
                    <wpg:grpSpPr>
                      <a:xfrm>
                        <a:off x="0" y="0"/>
                        <a:ext cx="6697981" cy="673862"/>
                        <a:chOff x="0" y="0"/>
                        <a:chExt cx="6697981" cy="673862"/>
                      </a:xfrm>
                    </wpg:grpSpPr>
                    <pic:pic xmlns:pic="http://schemas.openxmlformats.org/drawingml/2006/picture">
                      <pic:nvPicPr>
                        <pic:cNvPr id="18526" name="Picture 18526"/>
                        <pic:cNvPicPr/>
                      </pic:nvPicPr>
                      <pic:blipFill>
                        <a:blip r:embed="rId1"/>
                        <a:stretch>
                          <a:fillRect/>
                        </a:stretch>
                      </pic:blipFill>
                      <pic:spPr>
                        <a:xfrm>
                          <a:off x="5860415" y="0"/>
                          <a:ext cx="837565" cy="321310"/>
                        </a:xfrm>
                        <a:prstGeom prst="rect">
                          <a:avLst/>
                        </a:prstGeom>
                      </pic:spPr>
                    </pic:pic>
                    <pic:pic xmlns:pic="http://schemas.openxmlformats.org/drawingml/2006/picture">
                      <pic:nvPicPr>
                        <pic:cNvPr id="18529" name="Picture 18529"/>
                        <pic:cNvPicPr/>
                      </pic:nvPicPr>
                      <pic:blipFill>
                        <a:blip r:embed="rId2"/>
                        <a:stretch>
                          <a:fillRect/>
                        </a:stretch>
                      </pic:blipFill>
                      <pic:spPr>
                        <a:xfrm>
                          <a:off x="4333240" y="54610"/>
                          <a:ext cx="1104900" cy="204470"/>
                        </a:xfrm>
                        <a:prstGeom prst="rect">
                          <a:avLst/>
                        </a:prstGeom>
                      </pic:spPr>
                    </pic:pic>
                    <wps:wsp>
                      <wps:cNvPr id="18528" name="Rectangle 18528"/>
                      <wps:cNvSpPr/>
                      <wps:spPr>
                        <a:xfrm>
                          <a:off x="5154931" y="122936"/>
                          <a:ext cx="64456" cy="425653"/>
                        </a:xfrm>
                        <a:prstGeom prst="rect">
                          <a:avLst/>
                        </a:prstGeom>
                        <a:ln>
                          <a:noFill/>
                        </a:ln>
                      </wps:spPr>
                      <wps:txbx>
                        <w:txbxContent>
                          <w:p w:rsidR="00550862" w:rsidRDefault="00000000">
                            <w:pPr>
                              <w:spacing w:after="160" w:line="259" w:lineRule="auto"/>
                              <w:ind w:left="0" w:firstLine="0"/>
                              <w:jc w:val="left"/>
                            </w:pPr>
                            <w:r>
                              <w:rPr>
                                <w:b/>
                                <w:color w:val="00608F"/>
                                <w:sz w:val="36"/>
                              </w:rPr>
                              <w:t xml:space="preserve"> </w:t>
                            </w:r>
                          </w:p>
                        </w:txbxContent>
                      </wps:txbx>
                      <wps:bodyPr horzOverflow="overflow" vert="horz" lIns="0" tIns="0" rIns="0" bIns="0" rtlCol="0">
                        <a:noAutofit/>
                      </wps:bodyPr>
                    </wps:wsp>
                    <wps:wsp>
                      <wps:cNvPr id="18527" name="Shape 18527"/>
                      <wps:cNvSpPr/>
                      <wps:spPr>
                        <a:xfrm>
                          <a:off x="0" y="673862"/>
                          <a:ext cx="6677025" cy="0"/>
                        </a:xfrm>
                        <a:custGeom>
                          <a:avLst/>
                          <a:gdLst/>
                          <a:ahLst/>
                          <a:cxnLst/>
                          <a:rect l="0" t="0" r="0" b="0"/>
                          <a:pathLst>
                            <a:path w="6677025">
                              <a:moveTo>
                                <a:pt x="0" y="0"/>
                              </a:moveTo>
                              <a:lnTo>
                                <a:pt x="6677025" y="0"/>
                              </a:lnTo>
                            </a:path>
                          </a:pathLst>
                        </a:custGeom>
                        <a:ln w="19050" cap="flat">
                          <a:miter lim="127000"/>
                        </a:ln>
                      </wps:spPr>
                      <wps:style>
                        <a:lnRef idx="1">
                          <a:srgbClr val="00608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525" style="width:527.4pt;height:53.06pt;position:absolute;z-index:-2147483644;mso-position-horizontal-relative:page;mso-position-horizontal:absolute;margin-left:36.3pt;mso-position-vertical-relative:page;margin-top:60.7pt;" coordsize="66979,6738">
              <v:shape id="Picture 18526" style="position:absolute;width:8375;height:3213;left:58604;top:0;" filled="f">
                <v:imagedata r:id="rId7"/>
              </v:shape>
              <v:shape id="Picture 18529" style="position:absolute;width:11049;height:2044;left:43332;top:546;" filled="f">
                <v:imagedata r:id="rId8"/>
              </v:shape>
              <v:rect id="Rectangle 18528" style="position:absolute;width:644;height:4256;left:51549;top:1229;" filled="f" stroked="f">
                <v:textbox inset="0,0,0,0">
                  <w:txbxContent>
                    <w:p>
                      <w:pPr>
                        <w:spacing w:before="0" w:after="160" w:line="259" w:lineRule="auto"/>
                        <w:ind w:left="0" w:firstLine="0"/>
                        <w:jc w:val="left"/>
                      </w:pPr>
                      <w:r>
                        <w:rPr>
                          <w:rFonts w:cs="Calibri" w:hAnsi="Calibri" w:eastAsia="Calibri" w:ascii="Calibri"/>
                          <w:b w:val="1"/>
                          <w:color w:val="00608f"/>
                          <w:sz w:val="36"/>
                        </w:rPr>
                        <w:t xml:space="preserve"> </w:t>
                      </w:r>
                    </w:p>
                  </w:txbxContent>
                </v:textbox>
              </v:rect>
              <v:shape id="Shape 18527" style="position:absolute;width:66770;height:0;left:0;top:6738;" coordsize="6677025,0" path="m0,0l6677025,0">
                <v:stroke weight="1.5pt" endcap="flat" joinstyle="miter" miterlimit="10" on="true" color="#00608f"/>
                <v:fill on="false" color="#000000" opacity="0"/>
              </v:shape>
            </v:group>
          </w:pict>
        </mc:Fallback>
      </mc:AlternateContent>
    </w:r>
    <w:r>
      <w:rPr>
        <w:b/>
        <w:color w:val="00608F"/>
        <w:sz w:val="36"/>
      </w:rPr>
      <w:t>Número 6/2025</w:t>
    </w:r>
    <w:r>
      <w:t xml:space="preserve"> </w:t>
    </w:r>
  </w:p>
  <w:p w:rsidR="00550862" w:rsidRDefault="00000000">
    <w:pPr>
      <w:spacing w:after="0" w:line="259" w:lineRule="auto"/>
      <w:ind w:left="390" w:firstLine="0"/>
      <w:jc w:val="left"/>
    </w:pPr>
    <w:r>
      <w:t xml:space="preserve"> </w:t>
    </w:r>
  </w:p>
  <w:p w:rsidR="00550862" w:rsidRDefault="00000000">
    <w:pPr>
      <w:spacing w:after="0" w:line="259" w:lineRule="auto"/>
      <w:ind w:left="39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C41A7"/>
    <w:multiLevelType w:val="hybridMultilevel"/>
    <w:tmpl w:val="BA0A8006"/>
    <w:lvl w:ilvl="0" w:tplc="D0201054">
      <w:start w:val="2"/>
      <w:numFmt w:val="decimal"/>
      <w:lvlText w:val="%1"/>
      <w:lvlJc w:val="left"/>
      <w:pPr>
        <w:ind w:left="1416"/>
      </w:pPr>
      <w:rPr>
        <w:rFonts w:ascii="Calibri" w:eastAsia="Calibri" w:hAnsi="Calibri" w:cs="Calibri"/>
        <w:b/>
        <w:bCs/>
        <w:i w:val="0"/>
        <w:strike w:val="0"/>
        <w:dstrike w:val="0"/>
        <w:color w:val="F58500"/>
        <w:sz w:val="40"/>
        <w:szCs w:val="40"/>
        <w:u w:val="none" w:color="000000"/>
        <w:bdr w:val="none" w:sz="0" w:space="0" w:color="auto"/>
        <w:shd w:val="clear" w:color="auto" w:fill="auto"/>
        <w:vertAlign w:val="baseline"/>
      </w:rPr>
    </w:lvl>
    <w:lvl w:ilvl="1" w:tplc="D1288F16">
      <w:start w:val="1"/>
      <w:numFmt w:val="decimal"/>
      <w:lvlText w:val="%2."/>
      <w:lvlJc w:val="left"/>
      <w:pPr>
        <w:ind w:left="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1B20FDA">
      <w:start w:val="1"/>
      <w:numFmt w:val="lowerRoman"/>
      <w:lvlText w:val="%3"/>
      <w:lvlJc w:val="left"/>
      <w:pPr>
        <w:ind w:left="17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9F43A1E">
      <w:start w:val="1"/>
      <w:numFmt w:val="decimal"/>
      <w:lvlText w:val="%4"/>
      <w:lvlJc w:val="left"/>
      <w:pPr>
        <w:ind w:left="25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1D2F06E">
      <w:start w:val="1"/>
      <w:numFmt w:val="lowerLetter"/>
      <w:lvlText w:val="%5"/>
      <w:lvlJc w:val="left"/>
      <w:pPr>
        <w:ind w:left="32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F2226E">
      <w:start w:val="1"/>
      <w:numFmt w:val="lowerRoman"/>
      <w:lvlText w:val="%6"/>
      <w:lvlJc w:val="left"/>
      <w:pPr>
        <w:ind w:left="39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AC60C8E">
      <w:start w:val="1"/>
      <w:numFmt w:val="decimal"/>
      <w:lvlText w:val="%7"/>
      <w:lvlJc w:val="left"/>
      <w:pPr>
        <w:ind w:left="46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CFCDF5C">
      <w:start w:val="1"/>
      <w:numFmt w:val="lowerLetter"/>
      <w:lvlText w:val="%8"/>
      <w:lvlJc w:val="left"/>
      <w:pPr>
        <w:ind w:left="53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AEC6C2">
      <w:start w:val="1"/>
      <w:numFmt w:val="lowerRoman"/>
      <w:lvlText w:val="%9"/>
      <w:lvlJc w:val="left"/>
      <w:pPr>
        <w:ind w:left="61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4F66CF"/>
    <w:multiLevelType w:val="hybridMultilevel"/>
    <w:tmpl w:val="DA406430"/>
    <w:lvl w:ilvl="0" w:tplc="FCA63A10">
      <w:start w:val="1"/>
      <w:numFmt w:val="decimal"/>
      <w:lvlText w:val="%1."/>
      <w:lvlJc w:val="left"/>
      <w:pPr>
        <w:ind w:left="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4C053B4">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A82AD34">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CE20C4A">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92E5CC">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7DE4998">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EBCDF36">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F70A98A">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188F6EA">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5942ECB"/>
    <w:multiLevelType w:val="hybridMultilevel"/>
    <w:tmpl w:val="A2285C9C"/>
    <w:lvl w:ilvl="0" w:tplc="43243F52">
      <w:start w:val="1"/>
      <w:numFmt w:val="decimal"/>
      <w:lvlText w:val="%1."/>
      <w:lvlJc w:val="left"/>
      <w:pPr>
        <w:ind w:left="7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1AEEBAA">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AA476EC">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3624BC0">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77C30AA">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2C48C40">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0E80CF6">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FF0F97E">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FECDB18">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85D7BD9"/>
    <w:multiLevelType w:val="hybridMultilevel"/>
    <w:tmpl w:val="EE863A9A"/>
    <w:lvl w:ilvl="0" w:tplc="9648C016">
      <w:start w:val="1"/>
      <w:numFmt w:val="decimal"/>
      <w:lvlText w:val="%1."/>
      <w:lvlJc w:val="left"/>
      <w:pPr>
        <w:ind w:left="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3A21720">
      <w:start w:val="1"/>
      <w:numFmt w:val="lowerLetter"/>
      <w:lvlText w:val="%2"/>
      <w:lvlJc w:val="left"/>
      <w:pPr>
        <w:ind w:left="2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2F80264">
      <w:start w:val="1"/>
      <w:numFmt w:val="lowerRoman"/>
      <w:lvlText w:val="%3"/>
      <w:lvlJc w:val="left"/>
      <w:pPr>
        <w:ind w:left="3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766190">
      <w:start w:val="1"/>
      <w:numFmt w:val="decimal"/>
      <w:lvlText w:val="%4"/>
      <w:lvlJc w:val="left"/>
      <w:pPr>
        <w:ind w:left="3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B02E1C6">
      <w:start w:val="1"/>
      <w:numFmt w:val="lowerLetter"/>
      <w:lvlText w:val="%5"/>
      <w:lvlJc w:val="left"/>
      <w:pPr>
        <w:ind w:left="4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05840E8">
      <w:start w:val="1"/>
      <w:numFmt w:val="lowerRoman"/>
      <w:lvlText w:val="%6"/>
      <w:lvlJc w:val="left"/>
      <w:pPr>
        <w:ind w:left="5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818009C">
      <w:start w:val="1"/>
      <w:numFmt w:val="decimal"/>
      <w:lvlText w:val="%7"/>
      <w:lvlJc w:val="left"/>
      <w:pPr>
        <w:ind w:left="5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4DECC7C">
      <w:start w:val="1"/>
      <w:numFmt w:val="lowerLetter"/>
      <w:lvlText w:val="%8"/>
      <w:lvlJc w:val="left"/>
      <w:pPr>
        <w:ind w:left="6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92C5F2">
      <w:start w:val="1"/>
      <w:numFmt w:val="lowerRoman"/>
      <w:lvlText w:val="%9"/>
      <w:lvlJc w:val="left"/>
      <w:pPr>
        <w:ind w:left="7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D102694"/>
    <w:multiLevelType w:val="hybridMultilevel"/>
    <w:tmpl w:val="591270D4"/>
    <w:lvl w:ilvl="0" w:tplc="FBD82942">
      <w:start w:val="1"/>
      <w:numFmt w:val="decimal"/>
      <w:lvlText w:val="%1."/>
      <w:lvlJc w:val="left"/>
      <w:pPr>
        <w:ind w:left="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4BA39DE">
      <w:start w:val="1"/>
      <w:numFmt w:val="lowerLetter"/>
      <w:lvlText w:val="%2"/>
      <w:lvlJc w:val="left"/>
      <w:pPr>
        <w:ind w:left="23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0C5B90">
      <w:start w:val="1"/>
      <w:numFmt w:val="lowerRoman"/>
      <w:lvlText w:val="%3"/>
      <w:lvlJc w:val="left"/>
      <w:pPr>
        <w:ind w:left="30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51AF126">
      <w:start w:val="1"/>
      <w:numFmt w:val="decimal"/>
      <w:lvlText w:val="%4"/>
      <w:lvlJc w:val="left"/>
      <w:pPr>
        <w:ind w:left="37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AA66486">
      <w:start w:val="1"/>
      <w:numFmt w:val="lowerLetter"/>
      <w:lvlText w:val="%5"/>
      <w:lvlJc w:val="left"/>
      <w:pPr>
        <w:ind w:left="4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61A6854">
      <w:start w:val="1"/>
      <w:numFmt w:val="lowerRoman"/>
      <w:lvlText w:val="%6"/>
      <w:lvlJc w:val="left"/>
      <w:pPr>
        <w:ind w:left="52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B7A45EE">
      <w:start w:val="1"/>
      <w:numFmt w:val="decimal"/>
      <w:lvlText w:val="%7"/>
      <w:lvlJc w:val="left"/>
      <w:pPr>
        <w:ind w:left="59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D30CBCC">
      <w:start w:val="1"/>
      <w:numFmt w:val="lowerLetter"/>
      <w:lvlText w:val="%8"/>
      <w:lvlJc w:val="left"/>
      <w:pPr>
        <w:ind w:left="66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56A212E">
      <w:start w:val="1"/>
      <w:numFmt w:val="lowerRoman"/>
      <w:lvlText w:val="%9"/>
      <w:lvlJc w:val="left"/>
      <w:pPr>
        <w:ind w:left="73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A563DAE"/>
    <w:multiLevelType w:val="hybridMultilevel"/>
    <w:tmpl w:val="DA50A73E"/>
    <w:lvl w:ilvl="0" w:tplc="68D0649A">
      <w:start w:val="1"/>
      <w:numFmt w:val="decimal"/>
      <w:lvlText w:val="%1."/>
      <w:lvlJc w:val="left"/>
      <w:pPr>
        <w:ind w:left="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AC68444">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50E4E3E">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6E7F32">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0E2A65A">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67C0904">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C8E8D96">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F38D884">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B98EF64">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D6E5700"/>
    <w:multiLevelType w:val="hybridMultilevel"/>
    <w:tmpl w:val="D60E85A8"/>
    <w:lvl w:ilvl="0" w:tplc="FD56881E">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22C1BF6">
      <w:start w:val="1"/>
      <w:numFmt w:val="lowerLetter"/>
      <w:lvlText w:val="%2"/>
      <w:lvlJc w:val="left"/>
      <w:pPr>
        <w:ind w:left="1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1206792">
      <w:start w:val="1"/>
      <w:numFmt w:val="decimal"/>
      <w:lvlRestart w:val="0"/>
      <w:lvlText w:val="%3."/>
      <w:lvlJc w:val="left"/>
      <w:pPr>
        <w:ind w:left="14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3E628AA">
      <w:start w:val="1"/>
      <w:numFmt w:val="decimal"/>
      <w:lvlText w:val="%4"/>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29A2FC6">
      <w:start w:val="1"/>
      <w:numFmt w:val="lowerLetter"/>
      <w:lvlText w:val="%5"/>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75CD774">
      <w:start w:val="1"/>
      <w:numFmt w:val="lowerRoman"/>
      <w:lvlText w:val="%6"/>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572ADBA">
      <w:start w:val="1"/>
      <w:numFmt w:val="decimal"/>
      <w:lvlText w:val="%7"/>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90CB74E">
      <w:start w:val="1"/>
      <w:numFmt w:val="lowerLetter"/>
      <w:lvlText w:val="%8"/>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5A60EE2">
      <w:start w:val="1"/>
      <w:numFmt w:val="lowerRoman"/>
      <w:lvlText w:val="%9"/>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3CE006D"/>
    <w:multiLevelType w:val="hybridMultilevel"/>
    <w:tmpl w:val="ED603292"/>
    <w:lvl w:ilvl="0" w:tplc="80E8EACE">
      <w:start w:val="1"/>
      <w:numFmt w:val="decimal"/>
      <w:lvlText w:val="%1."/>
      <w:lvlJc w:val="left"/>
      <w:pPr>
        <w:ind w:left="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C87BA8">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8E44E28">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526E43E">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4226040">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3548A58">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796FDB2">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3026FB0">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FA675FE">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4C02FFC"/>
    <w:multiLevelType w:val="hybridMultilevel"/>
    <w:tmpl w:val="03925500"/>
    <w:lvl w:ilvl="0" w:tplc="743CA7D6">
      <w:start w:val="1"/>
      <w:numFmt w:val="decimal"/>
      <w:lvlText w:val="%1."/>
      <w:lvlJc w:val="left"/>
      <w:pPr>
        <w:ind w:left="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47EE9F2">
      <w:start w:val="1"/>
      <w:numFmt w:val="lowerLetter"/>
      <w:lvlText w:val="%2"/>
      <w:lvlJc w:val="left"/>
      <w:pPr>
        <w:ind w:left="23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9DEB9A2">
      <w:start w:val="1"/>
      <w:numFmt w:val="lowerRoman"/>
      <w:lvlText w:val="%3"/>
      <w:lvlJc w:val="left"/>
      <w:pPr>
        <w:ind w:left="30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9AAAAEC">
      <w:start w:val="1"/>
      <w:numFmt w:val="decimal"/>
      <w:lvlText w:val="%4"/>
      <w:lvlJc w:val="left"/>
      <w:pPr>
        <w:ind w:left="37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DC66AD8">
      <w:start w:val="1"/>
      <w:numFmt w:val="lowerLetter"/>
      <w:lvlText w:val="%5"/>
      <w:lvlJc w:val="left"/>
      <w:pPr>
        <w:ind w:left="4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866FA56">
      <w:start w:val="1"/>
      <w:numFmt w:val="lowerRoman"/>
      <w:lvlText w:val="%6"/>
      <w:lvlJc w:val="left"/>
      <w:pPr>
        <w:ind w:left="52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27EAB5A">
      <w:start w:val="1"/>
      <w:numFmt w:val="decimal"/>
      <w:lvlText w:val="%7"/>
      <w:lvlJc w:val="left"/>
      <w:pPr>
        <w:ind w:left="59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9B0CC84">
      <w:start w:val="1"/>
      <w:numFmt w:val="lowerLetter"/>
      <w:lvlText w:val="%8"/>
      <w:lvlJc w:val="left"/>
      <w:pPr>
        <w:ind w:left="66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6C6CCC0">
      <w:start w:val="1"/>
      <w:numFmt w:val="lowerRoman"/>
      <w:lvlText w:val="%9"/>
      <w:lvlJc w:val="left"/>
      <w:pPr>
        <w:ind w:left="73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6D77431"/>
    <w:multiLevelType w:val="hybridMultilevel"/>
    <w:tmpl w:val="BADC2A0E"/>
    <w:lvl w:ilvl="0" w:tplc="A01CC714">
      <w:start w:val="1"/>
      <w:numFmt w:val="decimal"/>
      <w:lvlText w:val="%1."/>
      <w:lvlJc w:val="left"/>
      <w:pPr>
        <w:ind w:left="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73E2AEA">
      <w:start w:val="1"/>
      <w:numFmt w:val="lowerLetter"/>
      <w:lvlText w:val="%2"/>
      <w:lvlJc w:val="left"/>
      <w:pPr>
        <w:ind w:left="2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516D468">
      <w:start w:val="1"/>
      <w:numFmt w:val="lowerRoman"/>
      <w:lvlText w:val="%3"/>
      <w:lvlJc w:val="left"/>
      <w:pPr>
        <w:ind w:left="3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3AEEDCE">
      <w:start w:val="1"/>
      <w:numFmt w:val="decimal"/>
      <w:lvlText w:val="%4"/>
      <w:lvlJc w:val="left"/>
      <w:pPr>
        <w:ind w:left="3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7689D04">
      <w:start w:val="1"/>
      <w:numFmt w:val="lowerLetter"/>
      <w:lvlText w:val="%5"/>
      <w:lvlJc w:val="left"/>
      <w:pPr>
        <w:ind w:left="4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6C42C5E">
      <w:start w:val="1"/>
      <w:numFmt w:val="lowerRoman"/>
      <w:lvlText w:val="%6"/>
      <w:lvlJc w:val="left"/>
      <w:pPr>
        <w:ind w:left="52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7746822">
      <w:start w:val="1"/>
      <w:numFmt w:val="decimal"/>
      <w:lvlText w:val="%7"/>
      <w:lvlJc w:val="left"/>
      <w:pPr>
        <w:ind w:left="59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DAA11D2">
      <w:start w:val="1"/>
      <w:numFmt w:val="lowerLetter"/>
      <w:lvlText w:val="%8"/>
      <w:lvlJc w:val="left"/>
      <w:pPr>
        <w:ind w:left="66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9A64646">
      <w:start w:val="1"/>
      <w:numFmt w:val="lowerRoman"/>
      <w:lvlText w:val="%9"/>
      <w:lvlJc w:val="left"/>
      <w:pPr>
        <w:ind w:left="73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312761561">
    <w:abstractNumId w:val="2"/>
  </w:num>
  <w:num w:numId="2" w16cid:durableId="1570723787">
    <w:abstractNumId w:val="0"/>
  </w:num>
  <w:num w:numId="3" w16cid:durableId="1350258908">
    <w:abstractNumId w:val="6"/>
  </w:num>
  <w:num w:numId="4" w16cid:durableId="566501400">
    <w:abstractNumId w:val="5"/>
  </w:num>
  <w:num w:numId="5" w16cid:durableId="1715040137">
    <w:abstractNumId w:val="9"/>
  </w:num>
  <w:num w:numId="6" w16cid:durableId="41640839">
    <w:abstractNumId w:val="7"/>
  </w:num>
  <w:num w:numId="7" w16cid:durableId="880674072">
    <w:abstractNumId w:val="3"/>
  </w:num>
  <w:num w:numId="8" w16cid:durableId="2084796226">
    <w:abstractNumId w:val="4"/>
  </w:num>
  <w:num w:numId="9" w16cid:durableId="1562521869">
    <w:abstractNumId w:val="1"/>
  </w:num>
  <w:num w:numId="10" w16cid:durableId="20209594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862"/>
    <w:rsid w:val="00550862"/>
    <w:rsid w:val="00D919F8"/>
    <w:rsid w:val="00ED67BD"/>
    <w:rsid w:val="00FA52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11A8B2-F43B-4A90-88D1-48FF06BB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710" w:firstLine="696"/>
      <w:jc w:val="both"/>
    </w:pPr>
    <w:rPr>
      <w:rFonts w:ascii="Calibri" w:eastAsia="Calibri" w:hAnsi="Calibri" w:cs="Calibri"/>
      <w:color w:val="000000"/>
    </w:rPr>
  </w:style>
  <w:style w:type="paragraph" w:styleId="Ttulo1">
    <w:name w:val="heading 1"/>
    <w:next w:val="Normal"/>
    <w:link w:val="Ttulo1Char"/>
    <w:uiPriority w:val="9"/>
    <w:qFormat/>
    <w:pPr>
      <w:keepNext/>
      <w:keepLines/>
      <w:spacing w:after="777" w:line="259" w:lineRule="auto"/>
      <w:outlineLvl w:val="0"/>
    </w:pPr>
    <w:rPr>
      <w:rFonts w:ascii="Calibri" w:eastAsia="Calibri" w:hAnsi="Calibri" w:cs="Calibri"/>
      <w:b/>
      <w:color w:val="F6A700"/>
      <w:sz w:val="32"/>
    </w:rPr>
  </w:style>
  <w:style w:type="paragraph" w:styleId="Ttulo2">
    <w:name w:val="heading 2"/>
    <w:next w:val="Normal"/>
    <w:link w:val="Ttulo2Char"/>
    <w:uiPriority w:val="9"/>
    <w:unhideWhenUsed/>
    <w:qFormat/>
    <w:pPr>
      <w:keepNext/>
      <w:keepLines/>
      <w:spacing w:after="0" w:line="259" w:lineRule="auto"/>
      <w:ind w:left="720" w:hanging="10"/>
      <w:outlineLvl w:val="1"/>
    </w:pPr>
    <w:rPr>
      <w:rFonts w:ascii="Calibri" w:eastAsia="Calibri" w:hAnsi="Calibri" w:cs="Calibri"/>
      <w:color w:val="0563C1"/>
      <w:u w:val="single" w:color="0563C1"/>
    </w:rPr>
  </w:style>
  <w:style w:type="paragraph" w:styleId="Ttulo3">
    <w:name w:val="heading 3"/>
    <w:next w:val="Normal"/>
    <w:link w:val="Ttulo3Char"/>
    <w:uiPriority w:val="9"/>
    <w:unhideWhenUsed/>
    <w:qFormat/>
    <w:pPr>
      <w:keepNext/>
      <w:keepLines/>
      <w:spacing w:after="0" w:line="259" w:lineRule="auto"/>
      <w:ind w:left="720" w:hanging="10"/>
      <w:outlineLvl w:val="2"/>
    </w:pPr>
    <w:rPr>
      <w:rFonts w:ascii="Calibri" w:eastAsia="Calibri" w:hAnsi="Calibri" w:cs="Calibri"/>
      <w:color w:val="0563C1"/>
      <w:u w:val="single" w:color="0563C1"/>
    </w:rPr>
  </w:style>
  <w:style w:type="paragraph" w:styleId="Ttulo4">
    <w:name w:val="heading 4"/>
    <w:next w:val="Normal"/>
    <w:link w:val="Ttulo4Char"/>
    <w:uiPriority w:val="9"/>
    <w:unhideWhenUsed/>
    <w:qFormat/>
    <w:pPr>
      <w:keepNext/>
      <w:keepLines/>
      <w:spacing w:after="0" w:line="259" w:lineRule="auto"/>
      <w:ind w:left="720" w:hanging="10"/>
      <w:outlineLvl w:val="3"/>
    </w:pPr>
    <w:rPr>
      <w:rFonts w:ascii="Calibri" w:eastAsia="Calibri" w:hAnsi="Calibri" w:cs="Calibri"/>
      <w:color w:val="0563C1"/>
      <w:u w:val="single" w:color="0563C1"/>
    </w:rPr>
  </w:style>
  <w:style w:type="paragraph" w:styleId="Ttulo5">
    <w:name w:val="heading 5"/>
    <w:next w:val="Normal"/>
    <w:link w:val="Ttulo5Char"/>
    <w:uiPriority w:val="9"/>
    <w:unhideWhenUsed/>
    <w:qFormat/>
    <w:pPr>
      <w:keepNext/>
      <w:keepLines/>
      <w:spacing w:after="0" w:line="259" w:lineRule="auto"/>
      <w:ind w:left="720" w:hanging="10"/>
      <w:outlineLvl w:val="4"/>
    </w:pPr>
    <w:rPr>
      <w:rFonts w:ascii="Calibri" w:eastAsia="Calibri" w:hAnsi="Calibri" w:cs="Calibri"/>
      <w:color w:val="0563C1"/>
      <w:u w:val="single" w:color="0563C1"/>
    </w:rPr>
  </w:style>
  <w:style w:type="paragraph" w:styleId="Ttulo6">
    <w:name w:val="heading 6"/>
    <w:next w:val="Normal"/>
    <w:link w:val="Ttulo6Char"/>
    <w:uiPriority w:val="9"/>
    <w:unhideWhenUsed/>
    <w:qFormat/>
    <w:pPr>
      <w:keepNext/>
      <w:keepLines/>
      <w:spacing w:after="0" w:line="259" w:lineRule="auto"/>
      <w:ind w:left="720" w:hanging="10"/>
      <w:outlineLvl w:val="5"/>
    </w:pPr>
    <w:rPr>
      <w:rFonts w:ascii="Calibri" w:eastAsia="Calibri" w:hAnsi="Calibri" w:cs="Calibri"/>
      <w:color w:val="0563C1"/>
      <w:u w:val="single" w:color="0563C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F6A700"/>
      <w:sz w:val="32"/>
    </w:rPr>
  </w:style>
  <w:style w:type="character" w:customStyle="1" w:styleId="Ttulo2Char">
    <w:name w:val="Título 2 Char"/>
    <w:link w:val="Ttulo2"/>
    <w:rPr>
      <w:rFonts w:ascii="Calibri" w:eastAsia="Calibri" w:hAnsi="Calibri" w:cs="Calibri"/>
      <w:color w:val="0563C1"/>
      <w:sz w:val="24"/>
      <w:u w:val="single" w:color="0563C1"/>
    </w:rPr>
  </w:style>
  <w:style w:type="character" w:customStyle="1" w:styleId="Ttulo3Char">
    <w:name w:val="Título 3 Char"/>
    <w:link w:val="Ttulo3"/>
    <w:rPr>
      <w:rFonts w:ascii="Calibri" w:eastAsia="Calibri" w:hAnsi="Calibri" w:cs="Calibri"/>
      <w:color w:val="0563C1"/>
      <w:sz w:val="24"/>
      <w:u w:val="single" w:color="0563C1"/>
    </w:rPr>
  </w:style>
  <w:style w:type="character" w:customStyle="1" w:styleId="Ttulo4Char">
    <w:name w:val="Título 4 Char"/>
    <w:link w:val="Ttulo4"/>
    <w:rPr>
      <w:rFonts w:ascii="Calibri" w:eastAsia="Calibri" w:hAnsi="Calibri" w:cs="Calibri"/>
      <w:color w:val="0563C1"/>
      <w:sz w:val="24"/>
      <w:u w:val="single" w:color="0563C1"/>
    </w:rPr>
  </w:style>
  <w:style w:type="character" w:customStyle="1" w:styleId="Ttulo5Char">
    <w:name w:val="Título 5 Char"/>
    <w:link w:val="Ttulo5"/>
    <w:rPr>
      <w:rFonts w:ascii="Calibri" w:eastAsia="Calibri" w:hAnsi="Calibri" w:cs="Calibri"/>
      <w:color w:val="0563C1"/>
      <w:sz w:val="24"/>
      <w:u w:val="single" w:color="0563C1"/>
    </w:rPr>
  </w:style>
  <w:style w:type="character" w:customStyle="1" w:styleId="Ttulo6Char">
    <w:name w:val="Título 6 Char"/>
    <w:link w:val="Ttulo6"/>
    <w:rPr>
      <w:rFonts w:ascii="Calibri" w:eastAsia="Calibri" w:hAnsi="Calibri" w:cs="Calibri"/>
      <w:color w:val="0563C1"/>
      <w:sz w:val="24"/>
      <w:u w:val="single" w:color="0563C1"/>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10.png"/><Relationship Id="rId7" Type="http://schemas.openxmlformats.org/officeDocument/2006/relationships/image" Target="media/image0.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3660</Words>
  <Characters>19768</Characters>
  <Application>Microsoft Office Word</Application>
  <DocSecurity>0</DocSecurity>
  <Lines>164</Lines>
  <Paragraphs>46</Paragraphs>
  <ScaleCrop>false</ScaleCrop>
  <Company/>
  <LinksUpToDate>false</LinksUpToDate>
  <CharactersWithSpaces>23382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Samilly Vitória Costa Mendes</dc:creator>
  <cp:keywords/>
  <cp:lastModifiedBy>Samilly Vitória Costa Mendes</cp:lastModifiedBy>
  <cp:revision>2</cp:revision>
  <dcterms:created xsi:type="dcterms:W3CDTF">2026-08-24T20:59:00Z</dcterms:created>
  <dcterms:modified xsi:type="dcterms:W3CDTF">2026-08-24T20:59:00Z</dcterms:modified>
</cp:coreProperties>
</file>